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widowControl/>
        <w:jc w:val="center"/>
      </w:pPr>
      <w:r>
        <w:t>FORSCHUNGS- UND WERKPORTRÄT</w:t>
      </w:r>
    </w:p>
    <w:p>
      <w:pPr>
        <w:widowControl/>
        <w:spacing w:before="1920" w:after="200"/>
        <w:jc w:val="center"/>
      </w:pPr>
      <w:r>
        <w:rPr>
          <w:rFonts w:ascii="Calibri" w:hAnsi="Calibri"/>
          <w:b/>
          <w:color w:val="203748"/>
          <w:sz w:val="60"/>
        </w:rPr>
        <w:t>ULRICH WARNKE</w:t>
      </w:r>
    </w:p>
    <w:p>
      <w:pPr>
        <w:pStyle w:val="ReportSubtitle"/>
        <w:widowControl/>
        <w:spacing w:after="120"/>
        <w:jc w:val="center"/>
      </w:pPr>
      <w:r>
        <w:t>Forschung, Lehre und publizistisches Werk</w:t>
      </w:r>
    </w:p>
    <w:p>
      <w:pPr>
        <w:widowControl/>
        <w:jc w:val="center"/>
      </w:pPr>
      <w:r>
        <w:rPr>
          <w:color w:val="1F4E79"/>
          <w:sz w:val="26"/>
        </w:rPr>
        <w:t>Mit einer kritischen Analyse von „Bionische Regeneration“</w:t>
      </w:r>
    </w:p>
    <w:p>
      <w:pPr>
        <w:widowControl/>
        <w:spacing w:after="2000"/>
      </w:pPr>
    </w:p>
    <w:p>
      <w:pPr>
        <w:widowControl/>
        <w:spacing w:after="400"/>
        <w:jc w:val="center"/>
      </w:pPr>
      <w:r>
        <w:t>Ein sachlich eingeordnetes Porträt zwischen Biologie, Biophysik, Bionik, Gesundheitsratgeber und Quantenphilosophie</w:t>
      </w:r>
    </w:p>
    <w:p>
      <w:pPr>
        <w:widowControl/>
        <w:jc w:val="center"/>
      </w:pPr>
      <w:r>
        <w:rPr>
          <w:b/>
          <w:color w:val="595959"/>
        </w:rPr>
        <w:t>Stand: 3. August 2026</w:t>
      </w:r>
    </w:p>
    <w:p>
      <w:pPr>
        <w:widowControl/>
      </w:pPr>
      <w:r>
        <w:br w:type="page"/>
      </w:r>
    </w:p>
    <w:p>
      <w:pPr>
        <w:pStyle w:val="Heading1"/>
        <w:widowControl/>
      </w:pPr>
      <w:r>
        <w:t>Kurzfazit</w:t>
      </w:r>
    </w:p>
    <w:tbl>
      <w:tblPr>
        <w:tblW w:type="dxa" w:w="9360"/>
        <w:jc w:val="left"/>
        <w:tblLayout w:type="fixed"/>
        <w:tblLook w:firstColumn="1" w:firstRow="1" w:lastColumn="0" w:lastRow="0" w:noHBand="0" w:noVBand="1" w:val="04A0"/>
      </w:tblPr>
      <w:tblGrid>
        <w:gridCol w:w="9360"/>
      </w:tblGrid>
      <w:tr>
        <w:tc>
          <w:tcPr>
            <w:tcW w:type="dxa" w:w="9360"/>
            <w:tcMar>
              <w:top w:w="90" w:type="dxa"/>
              <w:start w:w="120" w:type="dxa"/>
              <w:bottom w:w="90" w:type="dxa"/>
              <w:end w:w="120" w:type="dxa"/>
            </w:tcMar>
            <w:vAlign w:val="center"/>
            <w:shd w:fill="F3F6F8"/>
          </w:tcPr>
          <w:p>
            <w:pPr>
              <w:pStyle w:val="Callout"/>
            </w:pPr>
            <w:r>
              <w:rPr>
                <w:b/>
              </w:rPr>
              <w:t xml:space="preserve">In einem Satz: </w:t>
            </w:r>
            <w:r>
              <w:rPr>
                <w:b w:val="0"/>
              </w:rPr>
              <w:t>Ulrich Warnke ist ein promovierter deutscher Biologe mit dokumentierter akademischer Tätigkeit und frühen Fachpublikationen zu bioelektrischen bzw. elektromagnetischen Einflüssen auf Tiere; sein späteres populäres Werk erweitert diese Themen jedoch vielfach um weitreichende gesundheitsbezogene, quantenphilosophische und spirituelle Deutungen, die nicht durchgehend dem Stand der etablierten Wissenschaft entsprechen.</w:t>
            </w:r>
          </w:p>
        </w:tc>
      </w:tr>
    </w:tbl>
    <w:p>
      <w:pPr>
        <w:widowControl/>
        <w:spacing w:after="20"/>
      </w:pPr>
    </w:p>
    <w:p>
      <w:pPr>
        <w:widowControl/>
      </w:pPr>
      <w:r>
        <w:t>Seine Biografie verbindet drei deutlich unterscheidbare Ebenen:</w:t>
      </w:r>
    </w:p>
    <w:p>
      <w:pPr>
        <w:pStyle w:val="ListBullet"/>
        <w:widowControl/>
        <w:spacing w:after="80" w:line="264" w:lineRule="auto"/>
        <w:ind w:left="720" w:hanging="360"/>
      </w:pPr>
      <w:r>
        <w:t>Akademische Arbeit: Promotion über luftelektrisch bedingte Reaktionen von Honigbienen, experimentelle Publikationen zur Erfassung von Tierbewegungen sowie Arbeiten zu elektrischen und elektromagnetischen Feldern.</w:t>
      </w:r>
    </w:p>
    <w:p>
      <w:pPr>
        <w:pStyle w:val="ListBullet"/>
        <w:widowControl/>
        <w:spacing w:after="80" w:line="264" w:lineRule="auto"/>
        <w:ind w:left="720" w:hanging="360"/>
      </w:pPr>
      <w:r>
        <w:t>Interdisziplinäre Lehre und Bionik: Tätigkeiten an der Universität des Saarlandes, unter anderem in Biomedizin, Umweltmedizin, Biophysik und Bionik; ab 1989 wird ihm die Leitung einer Arbeitsgruppe bzw. Abteilung für Technische Biomedizin zugeschrieben.</w:t>
      </w:r>
    </w:p>
    <w:p>
      <w:pPr>
        <w:pStyle w:val="ListBullet"/>
        <w:widowControl/>
        <w:spacing w:after="80" w:line="264" w:lineRule="auto"/>
        <w:ind w:left="720" w:hanging="360"/>
      </w:pPr>
      <w:r>
        <w:t>Populärwissenschaftliches Spätwerk: Bücher über Gesundheit, Altern, Bewusstsein, Quantenphilosophie, Spiritualität und Wasser. Hier werden naturwissenschaftliche Befunde häufig mit Hypothesen und weltanschaulichen Aussagen verbunden.</w:t>
      </w:r>
    </w:p>
    <w:p>
      <w:pPr>
        <w:widowControl/>
      </w:pPr>
      <w:r>
        <w:t>Die faire Gesamtbewertung lautet daher: Warnke besitzt eine reale naturwissenschaftliche Ausbildung und publizierte experimentelle Arbeiten. Daraus folgt aber nicht automatisch, dass alle späteren Aussagen über Quantenphysik, Heilung, Bewusstsein, Anti-Aging oder elektromagnetische Risiken wissenschaftlich bestätigt sind.</w:t>
      </w:r>
    </w:p>
    <w:p>
      <w:pPr>
        <w:pStyle w:val="Heading1"/>
        <w:widowControl/>
      </w:pPr>
      <w:r>
        <w:t>1. Biografischer Überblick</w:t>
      </w:r>
    </w:p>
    <w:tbl>
      <w:tblPr>
        <w:tblStyle w:val="TableGrid"/>
        <w:tblW w:type="dxa" w:w="9360"/>
        <w:jc w:val="left"/>
        <w:tblLayout w:type="fixed"/>
        <w:tblLook w:firstColumn="1" w:firstRow="1" w:lastColumn="0" w:lastRow="0" w:noHBand="0" w:noVBand="1" w:val="04A0"/>
      </w:tblPr>
      <w:tblGrid>
        <w:gridCol w:w="1700"/>
        <w:gridCol w:w="7660"/>
      </w:tblGrid>
      <w:tr>
        <w:tc>
          <w:tcPr>
            <w:tcW w:type="dxa" w:w="1700"/>
            <w:tcMar>
              <w:top w:w="90" w:type="dxa"/>
              <w:start w:w="120" w:type="dxa"/>
              <w:bottom w:w="90" w:type="dxa"/>
              <w:end w:w="120" w:type="dxa"/>
            </w:tcMar>
            <w:vAlign w:val="center"/>
            <w:shd w:fill="E8EEF5"/>
          </w:tcPr>
          <w:p>
            <w:r>
              <w:rPr>
                <w:b/>
                <w:color w:val="1F3748"/>
                <w:sz w:val="19"/>
              </w:rPr>
              <w:t>Jahr/Zeitraum</w:t>
            </w:r>
          </w:p>
        </w:tc>
        <w:tc>
          <w:tcPr>
            <w:tcW w:type="dxa" w:w="7660"/>
            <w:tcMar>
              <w:top w:w="90" w:type="dxa"/>
              <w:start w:w="120" w:type="dxa"/>
              <w:bottom w:w="90" w:type="dxa"/>
              <w:end w:w="120" w:type="dxa"/>
            </w:tcMar>
            <w:vAlign w:val="center"/>
            <w:shd w:fill="E8EEF5"/>
          </w:tcPr>
          <w:p>
            <w:r>
              <w:rPr>
                <w:b/>
                <w:color w:val="1F3748"/>
                <w:sz w:val="19"/>
              </w:rPr>
              <w:t>Station</w:t>
            </w:r>
          </w:p>
        </w:tc>
      </w:tr>
      <w:tr>
        <w:tc>
          <w:tcPr>
            <w:tcW w:type="dxa" w:w="1700"/>
            <w:tcMar>
              <w:top w:w="90" w:type="dxa"/>
              <w:start w:w="120" w:type="dxa"/>
              <w:bottom w:w="90" w:type="dxa"/>
              <w:end w:w="120" w:type="dxa"/>
            </w:tcMar>
            <w:vAlign w:val="center"/>
          </w:tcPr>
          <w:p>
            <w:pPr>
              <w:spacing w:after="40" w:line="252" w:lineRule="auto"/>
            </w:pPr>
            <w:r>
              <w:rPr>
                <w:sz w:val="18"/>
              </w:rPr>
              <w:t>1945</w:t>
            </w:r>
          </w:p>
        </w:tc>
        <w:tc>
          <w:tcPr>
            <w:tcW w:type="dxa" w:w="7660"/>
            <w:tcMar>
              <w:top w:w="90" w:type="dxa"/>
              <w:start w:w="120" w:type="dxa"/>
              <w:bottom w:w="90" w:type="dxa"/>
              <w:end w:w="120" w:type="dxa"/>
            </w:tcMar>
            <w:vAlign w:val="center"/>
          </w:tcPr>
          <w:p>
            <w:pPr>
              <w:spacing w:after="40" w:line="252" w:lineRule="auto"/>
            </w:pPr>
            <w:r>
              <w:rPr>
                <w:sz w:val="18"/>
              </w:rPr>
              <w:t>Geboren in Haßlau; deutscher Biologe und späterer Buchautor.</w:t>
            </w:r>
          </w:p>
        </w:tc>
      </w:tr>
      <w:tr>
        <w:tc>
          <w:tcPr>
            <w:tcW w:type="dxa" w:w="1700"/>
            <w:tcMar>
              <w:top w:w="90" w:type="dxa"/>
              <w:start w:w="120" w:type="dxa"/>
              <w:bottom w:w="90" w:type="dxa"/>
              <w:end w:w="120" w:type="dxa"/>
            </w:tcMar>
            <w:vAlign w:val="center"/>
          </w:tcPr>
          <w:p>
            <w:pPr>
              <w:spacing w:after="40" w:line="252" w:lineRule="auto"/>
            </w:pPr>
            <w:r>
              <w:rPr>
                <w:sz w:val="18"/>
              </w:rPr>
              <w:t>bis 1971</w:t>
            </w:r>
          </w:p>
        </w:tc>
        <w:tc>
          <w:tcPr>
            <w:tcW w:type="dxa" w:w="7660"/>
            <w:tcMar>
              <w:top w:w="90" w:type="dxa"/>
              <w:start w:w="120" w:type="dxa"/>
              <w:bottom w:w="90" w:type="dxa"/>
              <w:end w:w="120" w:type="dxa"/>
            </w:tcMar>
            <w:vAlign w:val="center"/>
          </w:tcPr>
          <w:p>
            <w:pPr>
              <w:spacing w:after="40" w:line="252" w:lineRule="auto"/>
            </w:pPr>
            <w:r>
              <w:rPr>
                <w:sz w:val="18"/>
              </w:rPr>
              <w:t>Studium von Biologie, Physik, Geografie und Pädagogik; Abschluss mit Staatsexamen.</w:t>
            </w:r>
          </w:p>
        </w:tc>
      </w:tr>
      <w:tr>
        <w:tc>
          <w:tcPr>
            <w:tcW w:type="dxa" w:w="1700"/>
            <w:tcMar>
              <w:top w:w="90" w:type="dxa"/>
              <w:start w:w="120" w:type="dxa"/>
              <w:bottom w:w="90" w:type="dxa"/>
              <w:end w:w="120" w:type="dxa"/>
            </w:tcMar>
            <w:vAlign w:val="center"/>
          </w:tcPr>
          <w:p>
            <w:pPr>
              <w:spacing w:after="40" w:line="252" w:lineRule="auto"/>
            </w:pPr>
            <w:r>
              <w:rPr>
                <w:sz w:val="18"/>
              </w:rPr>
              <w:t>1973</w:t>
            </w:r>
          </w:p>
        </w:tc>
        <w:tc>
          <w:tcPr>
            <w:tcW w:type="dxa" w:w="7660"/>
            <w:tcMar>
              <w:top w:w="90" w:type="dxa"/>
              <w:start w:w="120" w:type="dxa"/>
              <w:bottom w:w="90" w:type="dxa"/>
              <w:end w:w="120" w:type="dxa"/>
            </w:tcMar>
            <w:vAlign w:val="center"/>
          </w:tcPr>
          <w:p>
            <w:pPr>
              <w:spacing w:after="40" w:line="252" w:lineRule="auto"/>
            </w:pPr>
            <w:r>
              <w:rPr>
                <w:sz w:val="18"/>
              </w:rPr>
              <w:t>Promotion zum Dr. rer. nat. an der Universität des Saarlandes. Thema: physikalisch-physiologische Grundlagen luftelektrisch bedingter „Wetterfühligkeit“ der Honigbiene.</w:t>
            </w:r>
          </w:p>
        </w:tc>
      </w:tr>
      <w:tr>
        <w:tc>
          <w:tcPr>
            <w:tcW w:type="dxa" w:w="1700"/>
            <w:tcMar>
              <w:top w:w="90" w:type="dxa"/>
              <w:start w:w="120" w:type="dxa"/>
              <w:bottom w:w="90" w:type="dxa"/>
              <w:end w:w="120" w:type="dxa"/>
            </w:tcMar>
            <w:vAlign w:val="center"/>
          </w:tcPr>
          <w:p>
            <w:pPr>
              <w:spacing w:after="40" w:line="252" w:lineRule="auto"/>
            </w:pPr>
            <w:r>
              <w:rPr>
                <w:sz w:val="18"/>
              </w:rPr>
              <w:t>1970er–1990er</w:t>
            </w:r>
          </w:p>
        </w:tc>
        <w:tc>
          <w:tcPr>
            <w:tcW w:type="dxa" w:w="7660"/>
            <w:tcMar>
              <w:top w:w="90" w:type="dxa"/>
              <w:start w:w="120" w:type="dxa"/>
              <w:bottom w:w="90" w:type="dxa"/>
              <w:end w:w="120" w:type="dxa"/>
            </w:tcMar>
            <w:vAlign w:val="center"/>
          </w:tcPr>
          <w:p>
            <w:pPr>
              <w:spacing w:after="40" w:line="252" w:lineRule="auto"/>
            </w:pPr>
            <w:r>
              <w:rPr>
                <w:sz w:val="18"/>
              </w:rPr>
              <w:t>Facharbeiten zu Bioelektrizität, motorischer Aktivität von Tieren, Hochspannungsfeldern, Bienen und pulsierenden elektromagnetischen Feldern.</w:t>
            </w:r>
          </w:p>
        </w:tc>
      </w:tr>
      <w:tr>
        <w:tc>
          <w:tcPr>
            <w:tcW w:type="dxa" w:w="1700"/>
            <w:tcMar>
              <w:top w:w="90" w:type="dxa"/>
              <w:start w:w="120" w:type="dxa"/>
              <w:bottom w:w="90" w:type="dxa"/>
              <w:end w:w="120" w:type="dxa"/>
            </w:tcMar>
            <w:vAlign w:val="center"/>
          </w:tcPr>
          <w:p>
            <w:pPr>
              <w:spacing w:after="40" w:line="252" w:lineRule="auto"/>
            </w:pPr>
            <w:r>
              <w:rPr>
                <w:sz w:val="18"/>
              </w:rPr>
              <w:t>1978–2010</w:t>
            </w:r>
          </w:p>
        </w:tc>
        <w:tc>
          <w:tcPr>
            <w:tcW w:type="dxa" w:w="7660"/>
            <w:tcMar>
              <w:top w:w="90" w:type="dxa"/>
              <w:start w:w="120" w:type="dxa"/>
              <w:bottom w:w="90" w:type="dxa"/>
              <w:end w:w="120" w:type="dxa"/>
            </w:tcMar>
            <w:vAlign w:val="center"/>
          </w:tcPr>
          <w:p>
            <w:pPr>
              <w:spacing w:after="40" w:line="252" w:lineRule="auto"/>
            </w:pPr>
            <w:r>
              <w:rPr>
                <w:sz w:val="18"/>
              </w:rPr>
              <w:t>Akademischer Oberrat an der Universität des Saarlandes; Lehr- und Arbeitsgebiete laut biografischen Quellen u. a. Biomedizin, Umweltmedizin, Biophysik und Bionik.</w:t>
            </w:r>
          </w:p>
        </w:tc>
      </w:tr>
      <w:tr>
        <w:tc>
          <w:tcPr>
            <w:tcW w:type="dxa" w:w="1700"/>
            <w:tcMar>
              <w:top w:w="90" w:type="dxa"/>
              <w:start w:w="120" w:type="dxa"/>
              <w:bottom w:w="90" w:type="dxa"/>
              <w:end w:w="120" w:type="dxa"/>
            </w:tcMar>
            <w:vAlign w:val="center"/>
          </w:tcPr>
          <w:p>
            <w:pPr>
              <w:spacing w:after="40" w:line="252" w:lineRule="auto"/>
            </w:pPr>
            <w:r>
              <w:rPr>
                <w:sz w:val="18"/>
              </w:rPr>
              <w:t>ab 1989</w:t>
            </w:r>
          </w:p>
        </w:tc>
        <w:tc>
          <w:tcPr>
            <w:tcW w:type="dxa" w:w="7660"/>
            <w:tcMar>
              <w:top w:w="90" w:type="dxa"/>
              <w:start w:w="120" w:type="dxa"/>
              <w:bottom w:w="90" w:type="dxa"/>
              <w:end w:w="120" w:type="dxa"/>
            </w:tcMar>
            <w:vAlign w:val="center"/>
          </w:tcPr>
          <w:p>
            <w:pPr>
              <w:spacing w:after="40" w:line="252" w:lineRule="auto"/>
            </w:pPr>
            <w:r>
              <w:rPr>
                <w:sz w:val="18"/>
              </w:rPr>
              <w:t>Leitung einer Arbeitsgruppe/Abteilung Technische Biomedizin; Gründungsmitglied der Gesellschaft für Technische Biologie und Bionik e. V.</w:t>
            </w:r>
          </w:p>
        </w:tc>
      </w:tr>
      <w:tr>
        <w:tc>
          <w:tcPr>
            <w:tcW w:type="dxa" w:w="1700"/>
            <w:tcMar>
              <w:top w:w="90" w:type="dxa"/>
              <w:start w:w="120" w:type="dxa"/>
              <w:bottom w:w="90" w:type="dxa"/>
              <w:end w:w="120" w:type="dxa"/>
            </w:tcMar>
            <w:vAlign w:val="center"/>
          </w:tcPr>
          <w:p>
            <w:pPr>
              <w:spacing w:after="40" w:line="252" w:lineRule="auto"/>
            </w:pPr>
            <w:r>
              <w:rPr>
                <w:sz w:val="18"/>
              </w:rPr>
              <w:t>seit 2010</w:t>
            </w:r>
          </w:p>
        </w:tc>
        <w:tc>
          <w:tcPr>
            <w:tcW w:type="dxa" w:w="7660"/>
            <w:tcMar>
              <w:top w:w="90" w:type="dxa"/>
              <w:start w:w="120" w:type="dxa"/>
              <w:bottom w:w="90" w:type="dxa"/>
              <w:end w:w="120" w:type="dxa"/>
            </w:tcMar>
            <w:vAlign w:val="center"/>
          </w:tcPr>
          <w:p>
            <w:pPr>
              <w:spacing w:after="40" w:line="252" w:lineRule="auto"/>
            </w:pPr>
            <w:r>
              <w:rPr>
                <w:sz w:val="18"/>
              </w:rPr>
              <w:t>Im Ruhestand; fortgesetzte Tätigkeit als Autor und Vortragsredner.</w:t>
            </w:r>
          </w:p>
        </w:tc>
      </w:tr>
    </w:tbl>
    <w:p>
      <w:pPr>
        <w:widowControl/>
        <w:spacing w:after="20"/>
      </w:pPr>
    </w:p>
    <w:p>
      <w:pPr>
        <w:pStyle w:val="SourceNote"/>
        <w:widowControl/>
      </w:pPr>
      <w:r>
        <w:t>Hinweis zur Quellenlage: Ältere universitäre Funktionsbezeichnungen und genaue organisatorische Zuordnungen werden in Sekundär- und Verlagsquellen nicht immer einheitlich wiedergegeben. Unstrittig sind Promotion, langjährige Tätigkeit an der Universität des Saarlandes und der Schwerpunkt auf biologischen Wirkungen physikalischer Felder.</w:t>
      </w:r>
    </w:p>
    <w:p>
      <w:pPr>
        <w:pStyle w:val="Heading1"/>
        <w:widowControl/>
      </w:pPr>
      <w:r>
        <w:t>2. Dokumentierte Forschungsfelder</w:t>
      </w:r>
    </w:p>
    <w:p>
      <w:pPr>
        <w:pStyle w:val="Heading2"/>
        <w:widowControl/>
      </w:pPr>
      <w:r>
        <w:t>2.1 Honigbienen, Bioelektrizität und Wetterfühligkeit</w:t>
      </w:r>
    </w:p>
    <w:p>
      <w:pPr>
        <w:widowControl/>
      </w:pPr>
      <w:r>
        <w:t>Warnkes Dissertation und mehrere frühe Publikationen untersuchten, wie elektrische Umweltfaktoren mit Verhalten und Stoffwechsel von Honigbienen zusammenhängen. Methodisch auffällig ist sein Interesse an messbaren elektrischen Oberflächenladungen und an der Registrierung sehr kleiner Tierbewegungen.</w:t>
      </w:r>
    </w:p>
    <w:p>
      <w:pPr>
        <w:pStyle w:val="Heading2"/>
        <w:widowControl/>
      </w:pPr>
      <w:r>
        <w:t>2.2 Elektrische und elektromagnetische Felder</w:t>
      </w:r>
    </w:p>
    <w:p>
      <w:pPr>
        <w:widowControl/>
      </w:pPr>
      <w:r>
        <w:t>Weitere Arbeiten behandelten Hochspannungswechselfelder, thermische Reaktionen in Bienenvölkern und mögliche Wirkmechanismen pulsierender elektromagnetischer Felder. Dieses Forschungsgebiet ist grundsätzlich legitim und bis heute Gegenstand von Bioelektromagnetik und Umweltmedizin. Die Stärke konkreter Schlussfolgerungen hängt jedoch von Expositionsbedingungen, Replikation, Dosimetrie und Studienqualität ab.</w:t>
      </w:r>
    </w:p>
    <w:p>
      <w:pPr>
        <w:pStyle w:val="Heading2"/>
        <w:widowControl/>
      </w:pPr>
      <w:r>
        <w:t>2.3 Bionik und Technische Biomedizin</w:t>
      </w:r>
    </w:p>
    <w:p>
      <w:pPr>
        <w:widowControl/>
      </w:pPr>
      <w:r>
        <w:t>Bionik überträgt Funktionsprinzipien biologischer Systeme auf technische oder medizinische Anwendungen. Warnke verwendet den Begriff breiter: Naturprinzipien sollen nicht nur Technik inspirieren, sondern auch Selbstregulation, Prävention und Regeneration des Menschen erklären. Diese Erweiterung ist konzeptionell reizvoll, verlangt aber für konkrete Therapie- oder Gesundheitsversprechen jeweils unabhängige klinische Belege.</w:t>
      </w:r>
    </w:p>
    <w:p>
      <w:pPr>
        <w:widowControl/>
      </w:pPr>
      <w:r>
        <w:br w:type="page"/>
      </w:r>
    </w:p>
    <w:p>
      <w:pPr>
        <w:pStyle w:val="Heading1"/>
        <w:widowControl/>
      </w:pPr>
      <w:r>
        <w:t>3. Auswahl wissenschaftlicher Publikationen</w:t>
      </w:r>
    </w:p>
    <w:tbl>
      <w:tblPr>
        <w:tblStyle w:val="TableGrid"/>
        <w:tblW w:type="dxa" w:w="9360"/>
        <w:jc w:val="left"/>
        <w:tblLayout w:type="fixed"/>
        <w:tblLook w:firstColumn="1" w:firstRow="1" w:lastColumn="0" w:lastRow="0" w:noHBand="0" w:noVBand="1" w:val="04A0"/>
      </w:tblPr>
      <w:tblGrid>
        <w:gridCol w:w="900"/>
        <w:gridCol w:w="5200"/>
        <w:gridCol w:w="3260"/>
      </w:tblGrid>
      <w:tr>
        <w:tc>
          <w:tcPr>
            <w:tcW w:type="dxa" w:w="900"/>
            <w:tcMar>
              <w:top w:w="90" w:type="dxa"/>
              <w:start w:w="120" w:type="dxa"/>
              <w:bottom w:w="90" w:type="dxa"/>
              <w:end w:w="120" w:type="dxa"/>
            </w:tcMar>
            <w:vAlign w:val="center"/>
            <w:shd w:fill="E8EEF5"/>
          </w:tcPr>
          <w:p>
            <w:r>
              <w:rPr>
                <w:b/>
                <w:color w:val="1F3748"/>
                <w:sz w:val="19"/>
              </w:rPr>
              <w:t>Jahr</w:t>
            </w:r>
          </w:p>
        </w:tc>
        <w:tc>
          <w:tcPr>
            <w:tcW w:type="dxa" w:w="5200"/>
            <w:tcMar>
              <w:top w:w="90" w:type="dxa"/>
              <w:start w:w="120" w:type="dxa"/>
              <w:bottom w:w="90" w:type="dxa"/>
              <w:end w:w="120" w:type="dxa"/>
            </w:tcMar>
            <w:vAlign w:val="center"/>
            <w:shd w:fill="E8EEF5"/>
          </w:tcPr>
          <w:p>
            <w:r>
              <w:rPr>
                <w:b/>
                <w:color w:val="1F3748"/>
                <w:sz w:val="19"/>
              </w:rPr>
              <w:t>Publikation / Thema</w:t>
            </w:r>
          </w:p>
        </w:tc>
        <w:tc>
          <w:tcPr>
            <w:tcW w:type="dxa" w:w="3260"/>
            <w:tcMar>
              <w:top w:w="90" w:type="dxa"/>
              <w:start w:w="120" w:type="dxa"/>
              <w:bottom w:w="90" w:type="dxa"/>
              <w:end w:w="120" w:type="dxa"/>
            </w:tcMar>
            <w:vAlign w:val="center"/>
            <w:shd w:fill="E8EEF5"/>
          </w:tcPr>
          <w:p>
            <w:r>
              <w:rPr>
                <w:b/>
                <w:color w:val="1F3748"/>
                <w:sz w:val="19"/>
              </w:rPr>
              <w:t>Einordnung</w:t>
            </w:r>
          </w:p>
        </w:tc>
      </w:tr>
      <w:tr>
        <w:tc>
          <w:tcPr>
            <w:tcW w:type="dxa" w:w="900"/>
            <w:tcMar>
              <w:top w:w="90" w:type="dxa"/>
              <w:start w:w="120" w:type="dxa"/>
              <w:bottom w:w="90" w:type="dxa"/>
              <w:end w:w="120" w:type="dxa"/>
            </w:tcMar>
            <w:vAlign w:val="center"/>
          </w:tcPr>
          <w:p>
            <w:pPr>
              <w:spacing w:after="40" w:line="252" w:lineRule="auto"/>
            </w:pPr>
            <w:r>
              <w:rPr>
                <w:sz w:val="18"/>
              </w:rPr>
              <w:t>1971</w:t>
            </w:r>
          </w:p>
        </w:tc>
        <w:tc>
          <w:tcPr>
            <w:tcW w:type="dxa" w:w="5200"/>
            <w:tcMar>
              <w:top w:w="90" w:type="dxa"/>
              <w:start w:w="120" w:type="dxa"/>
              <w:bottom w:w="90" w:type="dxa"/>
              <w:end w:w="120" w:type="dxa"/>
            </w:tcMar>
            <w:vAlign w:val="center"/>
          </w:tcPr>
          <w:p>
            <w:pPr>
              <w:spacing w:after="40" w:line="252" w:lineRule="auto"/>
            </w:pPr>
            <w:r>
              <w:rPr>
                <w:sz w:val="18"/>
              </w:rPr>
              <w:t>Einfluss unipolar geladener Luftionen auf die motorische Aktivität von Honigbienen (mit G. Altmann), Apidologie.</w:t>
            </w:r>
          </w:p>
        </w:tc>
        <w:tc>
          <w:tcPr>
            <w:tcW w:type="dxa" w:w="3260"/>
            <w:tcMar>
              <w:top w:w="90" w:type="dxa"/>
              <w:start w:w="120" w:type="dxa"/>
              <w:bottom w:w="90" w:type="dxa"/>
              <w:end w:w="120" w:type="dxa"/>
            </w:tcMar>
            <w:vAlign w:val="center"/>
          </w:tcPr>
          <w:p>
            <w:pPr>
              <w:spacing w:after="40" w:line="252" w:lineRule="auto"/>
            </w:pPr>
            <w:r>
              <w:rPr>
                <w:sz w:val="18"/>
              </w:rPr>
              <w:t>Frühe experimentelle Tierphysiologie.</w:t>
            </w:r>
          </w:p>
        </w:tc>
      </w:tr>
      <w:tr>
        <w:tc>
          <w:tcPr>
            <w:tcW w:type="dxa" w:w="900"/>
            <w:tcMar>
              <w:top w:w="90" w:type="dxa"/>
              <w:start w:w="120" w:type="dxa"/>
              <w:bottom w:w="90" w:type="dxa"/>
              <w:end w:w="120" w:type="dxa"/>
            </w:tcMar>
            <w:vAlign w:val="center"/>
          </w:tcPr>
          <w:p>
            <w:pPr>
              <w:spacing w:after="40" w:line="252" w:lineRule="auto"/>
            </w:pPr>
            <w:r>
              <w:rPr>
                <w:sz w:val="18"/>
              </w:rPr>
              <w:t>1973</w:t>
            </w:r>
          </w:p>
        </w:tc>
        <w:tc>
          <w:tcPr>
            <w:tcW w:type="dxa" w:w="5200"/>
            <w:tcMar>
              <w:top w:w="90" w:type="dxa"/>
              <w:start w:w="120" w:type="dxa"/>
              <w:bottom w:w="90" w:type="dxa"/>
              <w:end w:w="120" w:type="dxa"/>
            </w:tcMar>
            <w:vAlign w:val="center"/>
          </w:tcPr>
          <w:p>
            <w:pPr>
              <w:spacing w:after="40" w:line="252" w:lineRule="auto"/>
            </w:pPr>
            <w:r>
              <w:rPr>
                <w:sz w:val="18"/>
              </w:rPr>
              <w:t>Registrierung von Tierbewegungen mit Hilfe der Körperoberflächenladungen (mit G. Altmann), Experientia.</w:t>
            </w:r>
          </w:p>
        </w:tc>
        <w:tc>
          <w:tcPr>
            <w:tcW w:type="dxa" w:w="3260"/>
            <w:tcMar>
              <w:top w:w="90" w:type="dxa"/>
              <w:start w:w="120" w:type="dxa"/>
              <w:bottom w:w="90" w:type="dxa"/>
              <w:end w:w="120" w:type="dxa"/>
            </w:tcMar>
            <w:vAlign w:val="center"/>
          </w:tcPr>
          <w:p>
            <w:pPr>
              <w:spacing w:after="40" w:line="252" w:lineRule="auto"/>
            </w:pPr>
            <w:r>
              <w:rPr>
                <w:sz w:val="18"/>
              </w:rPr>
              <w:t>Messmethodischer Beitrag; international als englische Fassung nachgewiesen.</w:t>
            </w:r>
          </w:p>
        </w:tc>
      </w:tr>
      <w:tr>
        <w:tc>
          <w:tcPr>
            <w:tcW w:type="dxa" w:w="900"/>
            <w:tcMar>
              <w:top w:w="90" w:type="dxa"/>
              <w:start w:w="120" w:type="dxa"/>
              <w:bottom w:w="90" w:type="dxa"/>
              <w:end w:w="120" w:type="dxa"/>
            </w:tcMar>
            <w:vAlign w:val="center"/>
          </w:tcPr>
          <w:p>
            <w:pPr>
              <w:spacing w:after="40" w:line="252" w:lineRule="auto"/>
            </w:pPr>
            <w:r>
              <w:rPr>
                <w:sz w:val="18"/>
              </w:rPr>
              <w:t>1973</w:t>
            </w:r>
          </w:p>
        </w:tc>
        <w:tc>
          <w:tcPr>
            <w:tcW w:type="dxa" w:w="5200"/>
            <w:tcMar>
              <w:top w:w="90" w:type="dxa"/>
              <w:start w:w="120" w:type="dxa"/>
              <w:bottom w:w="90" w:type="dxa"/>
              <w:end w:w="120" w:type="dxa"/>
            </w:tcMar>
            <w:vAlign w:val="center"/>
          </w:tcPr>
          <w:p>
            <w:pPr>
              <w:spacing w:after="40" w:line="252" w:lineRule="auto"/>
            </w:pPr>
            <w:r>
              <w:rPr>
                <w:sz w:val="18"/>
              </w:rPr>
              <w:t>Dissertation zur luftelektrisch bedingten „Wetterfühligkeit“ der Honigbiene.</w:t>
            </w:r>
          </w:p>
        </w:tc>
        <w:tc>
          <w:tcPr>
            <w:tcW w:type="dxa" w:w="3260"/>
            <w:tcMar>
              <w:top w:w="90" w:type="dxa"/>
              <w:start w:w="120" w:type="dxa"/>
              <w:bottom w:w="90" w:type="dxa"/>
              <w:end w:w="120" w:type="dxa"/>
            </w:tcMar>
            <w:vAlign w:val="center"/>
          </w:tcPr>
          <w:p>
            <w:pPr>
              <w:spacing w:after="40" w:line="252" w:lineRule="auto"/>
            </w:pPr>
            <w:r>
              <w:rPr>
                <w:sz w:val="18"/>
              </w:rPr>
              <w:t>Akademische Qualifikationsschrift.</w:t>
            </w:r>
          </w:p>
        </w:tc>
      </w:tr>
      <w:tr>
        <w:tc>
          <w:tcPr>
            <w:tcW w:type="dxa" w:w="900"/>
            <w:tcMar>
              <w:top w:w="90" w:type="dxa"/>
              <w:start w:w="120" w:type="dxa"/>
              <w:bottom w:w="90" w:type="dxa"/>
              <w:end w:w="120" w:type="dxa"/>
            </w:tcMar>
            <w:vAlign w:val="center"/>
          </w:tcPr>
          <w:p>
            <w:pPr>
              <w:spacing w:after="40" w:line="252" w:lineRule="auto"/>
            </w:pPr>
            <w:r>
              <w:rPr>
                <w:sz w:val="18"/>
              </w:rPr>
              <w:t>1979</w:t>
            </w:r>
          </w:p>
        </w:tc>
        <w:tc>
          <w:tcPr>
            <w:tcW w:type="dxa" w:w="5200"/>
            <w:tcMar>
              <w:top w:w="90" w:type="dxa"/>
              <w:start w:w="120" w:type="dxa"/>
              <w:bottom w:w="90" w:type="dxa"/>
              <w:end w:w="120" w:type="dxa"/>
            </w:tcMar>
            <w:vAlign w:val="center"/>
          </w:tcPr>
          <w:p>
            <w:pPr>
              <w:spacing w:after="40" w:line="252" w:lineRule="auto"/>
            </w:pPr>
            <w:r>
              <w:rPr>
                <w:sz w:val="18"/>
              </w:rPr>
              <w:t>Einfluss der elektrischen Umwelt auf das Verhalten gekäfigter Honigbienen (mit G. Altmann).</w:t>
            </w:r>
          </w:p>
        </w:tc>
        <w:tc>
          <w:tcPr>
            <w:tcW w:type="dxa" w:w="3260"/>
            <w:tcMar>
              <w:top w:w="90" w:type="dxa"/>
              <w:start w:w="120" w:type="dxa"/>
              <w:bottom w:w="90" w:type="dxa"/>
              <w:end w:w="120" w:type="dxa"/>
            </w:tcMar>
            <w:vAlign w:val="center"/>
          </w:tcPr>
          <w:p>
            <w:pPr>
              <w:spacing w:after="40" w:line="252" w:lineRule="auto"/>
            </w:pPr>
            <w:r>
              <w:rPr>
                <w:sz w:val="18"/>
              </w:rPr>
              <w:t>Verhaltens- und Umweltphysiologie.</w:t>
            </w:r>
          </w:p>
        </w:tc>
      </w:tr>
      <w:tr>
        <w:tc>
          <w:tcPr>
            <w:tcW w:type="dxa" w:w="900"/>
            <w:tcMar>
              <w:top w:w="90" w:type="dxa"/>
              <w:start w:w="120" w:type="dxa"/>
              <w:bottom w:w="90" w:type="dxa"/>
              <w:end w:w="120" w:type="dxa"/>
            </w:tcMar>
            <w:vAlign w:val="center"/>
          </w:tcPr>
          <w:p>
            <w:pPr>
              <w:spacing w:after="40" w:line="252" w:lineRule="auto"/>
            </w:pPr>
            <w:r>
              <w:rPr>
                <w:sz w:val="18"/>
              </w:rPr>
              <w:t>1984</w:t>
            </w:r>
          </w:p>
        </w:tc>
        <w:tc>
          <w:tcPr>
            <w:tcW w:type="dxa" w:w="5200"/>
            <w:tcMar>
              <w:top w:w="90" w:type="dxa"/>
              <w:start w:w="120" w:type="dxa"/>
              <w:bottom w:w="90" w:type="dxa"/>
              <w:end w:w="120" w:type="dxa"/>
            </w:tcMar>
            <w:vAlign w:val="center"/>
          </w:tcPr>
          <w:p>
            <w:pPr>
              <w:spacing w:after="40" w:line="252" w:lineRule="auto"/>
            </w:pPr>
            <w:r>
              <w:rPr>
                <w:sz w:val="18"/>
              </w:rPr>
              <w:t>Avian Flight Formation with the Aid of Electromagnetic Forces.</w:t>
            </w:r>
          </w:p>
        </w:tc>
        <w:tc>
          <w:tcPr>
            <w:tcW w:type="dxa" w:w="3260"/>
            <w:tcMar>
              <w:top w:w="90" w:type="dxa"/>
              <w:start w:w="120" w:type="dxa"/>
              <w:bottom w:w="90" w:type="dxa"/>
              <w:end w:w="120" w:type="dxa"/>
            </w:tcMar>
            <w:vAlign w:val="center"/>
          </w:tcPr>
          <w:p>
            <w:pPr>
              <w:spacing w:after="40" w:line="252" w:lineRule="auto"/>
            </w:pPr>
            <w:r>
              <w:rPr>
                <w:sz w:val="18"/>
              </w:rPr>
              <w:t>Theoretischer Erklärungsansatz zur Formation von Zugvögeln.</w:t>
            </w:r>
          </w:p>
        </w:tc>
      </w:tr>
      <w:tr>
        <w:tc>
          <w:tcPr>
            <w:tcW w:type="dxa" w:w="900"/>
            <w:tcMar>
              <w:top w:w="90" w:type="dxa"/>
              <w:start w:w="120" w:type="dxa"/>
              <w:bottom w:w="90" w:type="dxa"/>
              <w:end w:w="120" w:type="dxa"/>
            </w:tcMar>
            <w:vAlign w:val="center"/>
          </w:tcPr>
          <w:p>
            <w:pPr>
              <w:spacing w:after="40" w:line="252" w:lineRule="auto"/>
            </w:pPr>
            <w:r>
              <w:rPr>
                <w:sz w:val="18"/>
              </w:rPr>
              <w:t>1992</w:t>
            </w:r>
          </w:p>
        </w:tc>
        <w:tc>
          <w:tcPr>
            <w:tcW w:type="dxa" w:w="5200"/>
            <w:tcMar>
              <w:top w:w="90" w:type="dxa"/>
              <w:start w:w="120" w:type="dxa"/>
              <w:bottom w:w="90" w:type="dxa"/>
              <w:end w:w="120" w:type="dxa"/>
            </w:tcMar>
            <w:vAlign w:val="center"/>
          </w:tcPr>
          <w:p>
            <w:pPr>
              <w:spacing w:after="40" w:line="252" w:lineRule="auto"/>
            </w:pPr>
            <w:r>
              <w:rPr>
                <w:sz w:val="18"/>
              </w:rPr>
              <w:t>Survey of some working mechanisms of pulsating electromagnetic fields, Bioelectrochemistry and Bioenergetics.</w:t>
            </w:r>
          </w:p>
        </w:tc>
        <w:tc>
          <w:tcPr>
            <w:tcW w:type="dxa" w:w="3260"/>
            <w:tcMar>
              <w:top w:w="90" w:type="dxa"/>
              <w:start w:w="120" w:type="dxa"/>
              <w:bottom w:w="90" w:type="dxa"/>
              <w:end w:w="120" w:type="dxa"/>
            </w:tcMar>
            <w:vAlign w:val="center"/>
          </w:tcPr>
          <w:p>
            <w:pPr>
              <w:spacing w:after="40" w:line="252" w:lineRule="auto"/>
            </w:pPr>
            <w:r>
              <w:rPr>
                <w:sz w:val="18"/>
              </w:rPr>
              <w:t>Übersichts-/Mechanismenbeitrag zur Bioelektromagnetik.</w:t>
            </w:r>
          </w:p>
        </w:tc>
      </w:tr>
      <w:tr>
        <w:tc>
          <w:tcPr>
            <w:tcW w:type="dxa" w:w="900"/>
            <w:tcMar>
              <w:top w:w="90" w:type="dxa"/>
              <w:start w:w="120" w:type="dxa"/>
              <w:bottom w:w="90" w:type="dxa"/>
              <w:end w:w="120" w:type="dxa"/>
            </w:tcMar>
            <w:vAlign w:val="center"/>
          </w:tcPr>
          <w:p>
            <w:pPr>
              <w:spacing w:after="40" w:line="252" w:lineRule="auto"/>
            </w:pPr>
            <w:r>
              <w:rPr>
                <w:sz w:val="18"/>
              </w:rPr>
              <w:t>1992/1993</w:t>
            </w:r>
          </w:p>
        </w:tc>
        <w:tc>
          <w:tcPr>
            <w:tcW w:type="dxa" w:w="5200"/>
            <w:tcMar>
              <w:top w:w="90" w:type="dxa"/>
              <w:start w:w="120" w:type="dxa"/>
              <w:bottom w:w="90" w:type="dxa"/>
              <w:end w:w="120" w:type="dxa"/>
            </w:tcMar>
            <w:vAlign w:val="center"/>
          </w:tcPr>
          <w:p>
            <w:pPr>
              <w:spacing w:after="40" w:line="252" w:lineRule="auto"/>
            </w:pPr>
            <w:r>
              <w:rPr>
                <w:sz w:val="18"/>
              </w:rPr>
              <w:t>Beiträge zu physikalischen Behandlungsmethoden sowie Licht- und Zellenergie.</w:t>
            </w:r>
          </w:p>
        </w:tc>
        <w:tc>
          <w:tcPr>
            <w:tcW w:type="dxa" w:w="3260"/>
            <w:tcMar>
              <w:top w:w="90" w:type="dxa"/>
              <w:start w:w="120" w:type="dxa"/>
              <w:bottom w:w="90" w:type="dxa"/>
              <w:end w:w="120" w:type="dxa"/>
            </w:tcMar>
            <w:vAlign w:val="center"/>
          </w:tcPr>
          <w:p>
            <w:pPr>
              <w:spacing w:after="40" w:line="252" w:lineRule="auto"/>
            </w:pPr>
            <w:r>
              <w:rPr>
                <w:sz w:val="18"/>
              </w:rPr>
              <w:t>Anwendungsorientierte Biophysik; klinische Tragweite gesondert zu prüfen.</w:t>
            </w:r>
          </w:p>
        </w:tc>
      </w:tr>
    </w:tbl>
    <w:p>
      <w:pPr>
        <w:widowControl/>
        <w:spacing w:after="20"/>
      </w:pPr>
    </w:p>
    <w:p>
      <w:pPr>
        <w:pStyle w:val="SourceNote"/>
        <w:widowControl/>
      </w:pPr>
      <w:r>
        <w:t>Die Liste ist eine Auswahl, keine vollständige Bibliografie. Datenbanken wie ResearchGate sind für die Sichtung hilfreich, ersetzen aber weder Verlagsarchive noch bibliometrische Fachdatenbanken. Spätere Neuveröffentlichungsdaten einzelner älterer Zeitschriftenartikel können Digitalisierungsdaten statt Erstpublikationsjahre anzeigen.</w:t>
      </w:r>
    </w:p>
    <w:p>
      <w:pPr>
        <w:pStyle w:val="Heading1"/>
        <w:widowControl/>
      </w:pPr>
      <w:r>
        <w:t>4. Das publizistische Werk</w:t>
      </w:r>
    </w:p>
    <w:p>
      <w:pPr>
        <w:widowControl/>
      </w:pPr>
      <w:r>
        <w:t>Warnkes Bücher lassen sich thematisch in vier Werkgruppen gliedern. Die Grenzen sind fließend, weil er biologische, psychologische, physikalische und spirituelle Erklärungen bewusst miteinander verknüpft.</w:t>
      </w:r>
    </w:p>
    <w:tbl>
      <w:tblPr>
        <w:tblStyle w:val="TableGrid"/>
        <w:tblW w:type="dxa" w:w="9360"/>
        <w:jc w:val="left"/>
        <w:tblLayout w:type="fixed"/>
        <w:tblLook w:firstColumn="1" w:firstRow="1" w:lastColumn="0" w:lastRow="0" w:noHBand="0" w:noVBand="1" w:val="04A0"/>
      </w:tblPr>
      <w:tblGrid>
        <w:gridCol w:w="1900"/>
        <w:gridCol w:w="3500"/>
        <w:gridCol w:w="3960"/>
      </w:tblGrid>
      <w:tr>
        <w:tc>
          <w:tcPr>
            <w:tcW w:type="dxa" w:w="1900"/>
            <w:tcMar>
              <w:top w:w="90" w:type="dxa"/>
              <w:start w:w="120" w:type="dxa"/>
              <w:bottom w:w="90" w:type="dxa"/>
              <w:end w:w="120" w:type="dxa"/>
            </w:tcMar>
            <w:vAlign w:val="center"/>
            <w:shd w:fill="E8EEF5"/>
          </w:tcPr>
          <w:p>
            <w:r>
              <w:rPr>
                <w:b/>
                <w:color w:val="1F3748"/>
                <w:sz w:val="19"/>
              </w:rPr>
              <w:t>Werkgruppe</w:t>
            </w:r>
          </w:p>
        </w:tc>
        <w:tc>
          <w:tcPr>
            <w:tcW w:type="dxa" w:w="3500"/>
            <w:tcMar>
              <w:top w:w="90" w:type="dxa"/>
              <w:start w:w="120" w:type="dxa"/>
              <w:bottom w:w="90" w:type="dxa"/>
              <w:end w:w="120" w:type="dxa"/>
            </w:tcMar>
            <w:vAlign w:val="center"/>
            <w:shd w:fill="E8EEF5"/>
          </w:tcPr>
          <w:p>
            <w:r>
              <w:rPr>
                <w:b/>
                <w:color w:val="1F3748"/>
                <w:sz w:val="19"/>
              </w:rPr>
              <w:t>Beispiele</w:t>
            </w:r>
          </w:p>
        </w:tc>
        <w:tc>
          <w:tcPr>
            <w:tcW w:type="dxa" w:w="3960"/>
            <w:tcMar>
              <w:top w:w="90" w:type="dxa"/>
              <w:start w:w="120" w:type="dxa"/>
              <w:bottom w:w="90" w:type="dxa"/>
              <w:end w:w="120" w:type="dxa"/>
            </w:tcMar>
            <w:vAlign w:val="center"/>
            <w:shd w:fill="E8EEF5"/>
          </w:tcPr>
          <w:p>
            <w:r>
              <w:rPr>
                <w:b/>
                <w:color w:val="1F3748"/>
                <w:sz w:val="19"/>
              </w:rPr>
              <w:t>Leitfrage</w:t>
            </w:r>
          </w:p>
        </w:tc>
      </w:tr>
      <w:tr>
        <w:tc>
          <w:tcPr>
            <w:tcW w:type="dxa" w:w="1900"/>
            <w:tcMar>
              <w:top w:w="90" w:type="dxa"/>
              <w:start w:w="120" w:type="dxa"/>
              <w:bottom w:w="90" w:type="dxa"/>
              <w:end w:w="120" w:type="dxa"/>
            </w:tcMar>
            <w:vAlign w:val="center"/>
          </w:tcPr>
          <w:p>
            <w:pPr>
              <w:spacing w:after="40" w:line="252" w:lineRule="auto"/>
            </w:pPr>
            <w:r>
              <w:rPr>
                <w:sz w:val="18"/>
              </w:rPr>
              <w:t>Zivilisations- und Gesundheitskritik</w:t>
            </w:r>
          </w:p>
        </w:tc>
        <w:tc>
          <w:tcPr>
            <w:tcW w:type="dxa" w:w="3500"/>
            <w:tcMar>
              <w:top w:w="90" w:type="dxa"/>
              <w:start w:w="120" w:type="dxa"/>
              <w:bottom w:w="90" w:type="dxa"/>
              <w:end w:w="120" w:type="dxa"/>
            </w:tcMar>
            <w:vAlign w:val="center"/>
          </w:tcPr>
          <w:p>
            <w:pPr>
              <w:spacing w:after="40" w:line="252" w:lineRule="auto"/>
            </w:pPr>
            <w:r>
              <w:rPr>
                <w:sz w:val="18"/>
              </w:rPr>
              <w:t>Risiko Wohlstandsleiden; Der Mensch und die 3. Kraft; Gehirn-Magie</w:t>
            </w:r>
          </w:p>
        </w:tc>
        <w:tc>
          <w:tcPr>
            <w:tcW w:type="dxa" w:w="3960"/>
            <w:tcMar>
              <w:top w:w="90" w:type="dxa"/>
              <w:start w:w="120" w:type="dxa"/>
              <w:bottom w:w="90" w:type="dxa"/>
              <w:end w:w="120" w:type="dxa"/>
            </w:tcMar>
            <w:vAlign w:val="center"/>
          </w:tcPr>
          <w:p>
            <w:pPr>
              <w:spacing w:after="40" w:line="252" w:lineRule="auto"/>
            </w:pPr>
            <w:r>
              <w:rPr>
                <w:sz w:val="18"/>
              </w:rPr>
              <w:t>Wie beeinflussen Lebensweise, Umwelt und Psyche die Gesundheit?</w:t>
            </w:r>
          </w:p>
        </w:tc>
      </w:tr>
      <w:tr>
        <w:tc>
          <w:tcPr>
            <w:tcW w:type="dxa" w:w="1900"/>
            <w:tcMar>
              <w:top w:w="90" w:type="dxa"/>
              <w:start w:w="120" w:type="dxa"/>
              <w:bottom w:w="90" w:type="dxa"/>
              <w:end w:w="120" w:type="dxa"/>
            </w:tcMar>
            <w:vAlign w:val="center"/>
          </w:tcPr>
          <w:p>
            <w:pPr>
              <w:spacing w:after="40" w:line="252" w:lineRule="auto"/>
            </w:pPr>
            <w:r>
              <w:rPr>
                <w:sz w:val="18"/>
              </w:rPr>
              <w:t>Quantenphilosophie</w:t>
            </w:r>
          </w:p>
        </w:tc>
        <w:tc>
          <w:tcPr>
            <w:tcW w:type="dxa" w:w="3500"/>
            <w:tcMar>
              <w:top w:w="90" w:type="dxa"/>
              <w:start w:w="120" w:type="dxa"/>
              <w:bottom w:w="90" w:type="dxa"/>
              <w:end w:w="120" w:type="dxa"/>
            </w:tcMar>
            <w:vAlign w:val="center"/>
          </w:tcPr>
          <w:p>
            <w:pPr>
              <w:spacing w:after="40" w:line="252" w:lineRule="auto"/>
            </w:pPr>
            <w:r>
              <w:rPr>
                <w:sz w:val="18"/>
              </w:rPr>
              <w:t>Quantenphilosophie und Spiritualität; Quantenphilosophie und Interwelt</w:t>
            </w:r>
          </w:p>
        </w:tc>
        <w:tc>
          <w:tcPr>
            <w:tcW w:type="dxa" w:w="3960"/>
            <w:tcMar>
              <w:top w:w="90" w:type="dxa"/>
              <w:start w:w="120" w:type="dxa"/>
              <w:bottom w:w="90" w:type="dxa"/>
              <w:end w:w="120" w:type="dxa"/>
            </w:tcMar>
            <w:vAlign w:val="center"/>
          </w:tcPr>
          <w:p>
            <w:pPr>
              <w:spacing w:after="40" w:line="252" w:lineRule="auto"/>
            </w:pPr>
            <w:r>
              <w:rPr>
                <w:sz w:val="18"/>
              </w:rPr>
              <w:t>Kann Quantenphysik als Deutungsrahmen für Bewusstsein und Spiritualität dienen?</w:t>
            </w:r>
          </w:p>
        </w:tc>
      </w:tr>
      <w:tr>
        <w:tc>
          <w:tcPr>
            <w:tcW w:type="dxa" w:w="1900"/>
            <w:tcMar>
              <w:top w:w="90" w:type="dxa"/>
              <w:start w:w="120" w:type="dxa"/>
              <w:bottom w:w="90" w:type="dxa"/>
              <w:end w:w="120" w:type="dxa"/>
            </w:tcMar>
            <w:vAlign w:val="center"/>
          </w:tcPr>
          <w:p>
            <w:pPr>
              <w:spacing w:after="40" w:line="252" w:lineRule="auto"/>
            </w:pPr>
            <w:r>
              <w:rPr>
                <w:sz w:val="18"/>
              </w:rPr>
              <w:t>Bionik und Regeneration</w:t>
            </w:r>
          </w:p>
        </w:tc>
        <w:tc>
          <w:tcPr>
            <w:tcW w:type="dxa" w:w="3500"/>
            <w:tcMar>
              <w:top w:w="90" w:type="dxa"/>
              <w:start w:w="120" w:type="dxa"/>
              <w:bottom w:w="90" w:type="dxa"/>
              <w:end w:w="120" w:type="dxa"/>
            </w:tcMar>
            <w:vAlign w:val="center"/>
          </w:tcPr>
          <w:p>
            <w:pPr>
              <w:spacing w:after="40" w:line="252" w:lineRule="auto"/>
            </w:pPr>
            <w:r>
              <w:rPr>
                <w:sz w:val="18"/>
              </w:rPr>
              <w:t>Bionische Regeneration; Bionisches Wasser</w:t>
            </w:r>
          </w:p>
        </w:tc>
        <w:tc>
          <w:tcPr>
            <w:tcW w:type="dxa" w:w="3960"/>
            <w:tcMar>
              <w:top w:w="90" w:type="dxa"/>
              <w:start w:w="120" w:type="dxa"/>
              <w:bottom w:w="90" w:type="dxa"/>
              <w:end w:w="120" w:type="dxa"/>
            </w:tcMar>
            <w:vAlign w:val="center"/>
          </w:tcPr>
          <w:p>
            <w:pPr>
              <w:spacing w:after="40" w:line="252" w:lineRule="auto"/>
            </w:pPr>
            <w:r>
              <w:rPr>
                <w:sz w:val="18"/>
              </w:rPr>
              <w:t>Welche Naturprinzipien lassen sich für Gesundheit und Regeneration nutzen?</w:t>
            </w:r>
          </w:p>
        </w:tc>
      </w:tr>
      <w:tr>
        <w:tc>
          <w:tcPr>
            <w:tcW w:type="dxa" w:w="1900"/>
            <w:tcMar>
              <w:top w:w="90" w:type="dxa"/>
              <w:start w:w="120" w:type="dxa"/>
              <w:bottom w:w="90" w:type="dxa"/>
              <w:end w:w="120" w:type="dxa"/>
            </w:tcMar>
            <w:vAlign w:val="center"/>
          </w:tcPr>
          <w:p>
            <w:pPr>
              <w:spacing w:after="40" w:line="252" w:lineRule="auto"/>
            </w:pPr>
            <w:r>
              <w:rPr>
                <w:sz w:val="18"/>
              </w:rPr>
              <w:t>Bewusstsein und Transzendenz</w:t>
            </w:r>
          </w:p>
        </w:tc>
        <w:tc>
          <w:tcPr>
            <w:tcW w:type="dxa" w:w="3500"/>
            <w:tcMar>
              <w:top w:w="90" w:type="dxa"/>
              <w:start w:w="120" w:type="dxa"/>
              <w:bottom w:w="90" w:type="dxa"/>
              <w:end w:w="120" w:type="dxa"/>
            </w:tcMar>
            <w:vAlign w:val="center"/>
          </w:tcPr>
          <w:p>
            <w:pPr>
              <w:spacing w:after="40" w:line="252" w:lineRule="auto"/>
            </w:pPr>
            <w:r>
              <w:rPr>
                <w:sz w:val="18"/>
              </w:rPr>
              <w:t>Die Öffnung des 3. Auges; Die Urquelle der Glückseligkeit; Diesseits und jenseits der Raum-Zeit-Netze</w:t>
            </w:r>
          </w:p>
        </w:tc>
        <w:tc>
          <w:tcPr>
            <w:tcW w:type="dxa" w:w="3960"/>
            <w:tcMar>
              <w:top w:w="90" w:type="dxa"/>
              <w:start w:w="120" w:type="dxa"/>
              <w:bottom w:w="90" w:type="dxa"/>
              <w:end w:w="120" w:type="dxa"/>
            </w:tcMar>
            <w:vAlign w:val="center"/>
          </w:tcPr>
          <w:p>
            <w:pPr>
              <w:spacing w:after="40" w:line="252" w:lineRule="auto"/>
            </w:pPr>
            <w:r>
              <w:rPr>
                <w:sz w:val="18"/>
              </w:rPr>
              <w:t>Wie hängen Gehirn, subjektive Erfahrung und transzendente Deutungen zusammen?</w:t>
            </w:r>
          </w:p>
        </w:tc>
      </w:tr>
    </w:tbl>
    <w:p>
      <w:pPr>
        <w:widowControl/>
        <w:spacing w:after="20"/>
      </w:pPr>
    </w:p>
    <w:p>
      <w:pPr>
        <w:pStyle w:val="Heading1"/>
        <w:widowControl/>
      </w:pPr>
      <w:r>
        <w:t>5. Zentrale Bücher – kommentierte Auswahl</w:t>
      </w:r>
    </w:p>
    <w:p>
      <w:pPr>
        <w:keepNext w:val="0"/>
        <w:widowControl/>
      </w:pPr>
      <w:r>
        <w:rPr>
          <w:b/>
          <w:color w:val="1F4E79"/>
        </w:rPr>
        <w:t xml:space="preserve">Risiko Wohlstandsleiden (1993). </w:t>
      </w:r>
      <w:r>
        <w:t>Frühes Programm einer biologisch orientierten Zivilisationskritik: moderne Lebensweise wird an evolutionär geprägten Bedürfnissen gemessen.</w:t>
      </w:r>
    </w:p>
    <w:p>
      <w:pPr>
        <w:keepNext w:val="0"/>
        <w:widowControl/>
      </w:pPr>
      <w:r>
        <w:rPr>
          <w:b/>
          <w:color w:val="1F4E79"/>
        </w:rPr>
        <w:t xml:space="preserve">Der Mensch und die 3. Kraft (1994). </w:t>
      </w:r>
      <w:r>
        <w:t>Verknüpft elektromagnetische Wechselwirkungen mit Stress, Therapie und Gesundheit; Übergang von experimenteller Biophysik zu umfassenderen Gesundheitsdeutungen.</w:t>
      </w:r>
    </w:p>
    <w:p>
      <w:pPr>
        <w:keepNext w:val="0"/>
        <w:widowControl/>
      </w:pPr>
      <w:r>
        <w:rPr>
          <w:b/>
          <w:color w:val="1F4E79"/>
        </w:rPr>
        <w:t xml:space="preserve">Gehirn-Magie (1990er; Neuausgabe 2023). </w:t>
      </w:r>
      <w:r>
        <w:t>Beschäftigt sich mit Gefühlen, Gehirn und subjektiver Wirklichkeit.</w:t>
      </w:r>
    </w:p>
    <w:p>
      <w:pPr>
        <w:keepNext w:val="0"/>
        <w:widowControl/>
      </w:pPr>
      <w:r>
        <w:rPr>
          <w:b/>
          <w:color w:val="1F4E79"/>
        </w:rPr>
        <w:t xml:space="preserve">Quantenphilosophie und Spiritualität (2011; spätere Ausgaben). </w:t>
      </w:r>
      <w:r>
        <w:t>Ein Schlüsselwerk seines Spätwerks. Es verbindet Quantenbegriffe mit Wille, Gesundheit, Bewusstsein und Spiritualität. Gerade diese Übertragung wird von Physikern und Wissenschaftskritikern beanstandet.</w:t>
      </w:r>
    </w:p>
    <w:p>
      <w:pPr>
        <w:keepNext w:val="0"/>
        <w:widowControl/>
      </w:pPr>
      <w:r>
        <w:rPr>
          <w:b/>
          <w:color w:val="1F4E79"/>
        </w:rPr>
        <w:t xml:space="preserve">Quantenphilosophie und Interwelt (2013; Taschenbuch 2020). </w:t>
      </w:r>
      <w:r>
        <w:t>Entwirft eine verborgene Ebene der Wirklichkeit und verbindet sie mit Bewusstsein und menschlicher Existenz.</w:t>
      </w:r>
    </w:p>
    <w:p>
      <w:pPr>
        <w:keepNext w:val="0"/>
        <w:widowControl/>
      </w:pPr>
      <w:r>
        <w:rPr>
          <w:b/>
          <w:color w:val="1F4E79"/>
        </w:rPr>
        <w:t xml:space="preserve">Bionische Regeneration (2017; Taschenbuch 2021). </w:t>
      </w:r>
      <w:r>
        <w:t>Umfangreicher Anti-Aging-Ratgeber, der Epigenetik, Zellbiologie, Lebensstil und bionische Naturbeobachtung zusammenführt.</w:t>
      </w:r>
    </w:p>
    <w:p>
      <w:pPr>
        <w:keepNext w:val="0"/>
        <w:widowControl/>
      </w:pPr>
      <w:r>
        <w:rPr>
          <w:b/>
          <w:color w:val="1F4E79"/>
        </w:rPr>
        <w:t xml:space="preserve">Die Öffnung des 3. Auges (2017; Taschenbuch 2019). </w:t>
      </w:r>
      <w:r>
        <w:t>Verknüpft Zirbeldrüse, Bewusstsein und transzendente Erfahrungen; populär, aber wissenschaftlich besonders spekulativ.</w:t>
      </w:r>
    </w:p>
    <w:p>
      <w:pPr>
        <w:keepNext w:val="0"/>
        <w:widowControl/>
      </w:pPr>
      <w:r>
        <w:rPr>
          <w:b/>
          <w:color w:val="1F4E79"/>
        </w:rPr>
        <w:t xml:space="preserve">Die Urquelle der Glückseligkeit (2021). </w:t>
      </w:r>
      <w:r>
        <w:t>Untersucht Hochgefühle, Bewusstsein und innere Zustände im Grenzbereich von Neurobiologie, Psychologie und Spiritualität.</w:t>
      </w:r>
    </w:p>
    <w:p>
      <w:pPr>
        <w:keepNext w:val="0"/>
        <w:widowControl/>
      </w:pPr>
      <w:r>
        <w:rPr>
          <w:b/>
          <w:color w:val="1F4E79"/>
        </w:rPr>
        <w:t xml:space="preserve">Die geheime Macht der Psyche (älteres Werk; Neuausgabe 2022). </w:t>
      </w:r>
      <w:r>
        <w:t>Betont die Wirkung von Erwartung, Emotion, Placebo/Nocebo und mentalen Prozessen auf Gesundheit.</w:t>
      </w:r>
    </w:p>
    <w:p>
      <w:pPr>
        <w:widowControl/>
      </w:pPr>
      <w:r>
        <w:br w:type="page"/>
      </w:r>
    </w:p>
    <w:p>
      <w:pPr>
        <w:pStyle w:val="Heading1"/>
        <w:widowControl/>
      </w:pPr>
      <w:r>
        <w:t>6. „Bionische Regeneration“ – Buchprofil</w:t>
      </w:r>
    </w:p>
    <w:tbl>
      <w:tblPr>
        <w:tblStyle w:val="TableGrid"/>
        <w:tblW w:type="dxa" w:w="9360"/>
        <w:jc w:val="left"/>
        <w:tblLayout w:type="fixed"/>
        <w:tblLook w:firstColumn="1" w:firstRow="1" w:lastColumn="0" w:lastRow="0" w:noHBand="0" w:noVBand="1" w:val="04A0"/>
      </w:tblPr>
      <w:tblGrid>
        <w:gridCol w:w="1900"/>
        <w:gridCol w:w="7460"/>
      </w:tblGrid>
      <w:tr>
        <w:tc>
          <w:tcPr>
            <w:tcW w:type="dxa" w:w="1900"/>
            <w:tcMar>
              <w:top w:w="90" w:type="dxa"/>
              <w:start w:w="120" w:type="dxa"/>
              <w:bottom w:w="90" w:type="dxa"/>
              <w:end w:w="120" w:type="dxa"/>
            </w:tcMar>
            <w:vAlign w:val="center"/>
            <w:shd w:fill="E8EEF5"/>
          </w:tcPr>
          <w:p>
            <w:r>
              <w:rPr>
                <w:b/>
                <w:color w:val="1F3748"/>
                <w:sz w:val="19"/>
              </w:rPr>
              <w:t>Merkmal</w:t>
            </w:r>
          </w:p>
        </w:tc>
        <w:tc>
          <w:tcPr>
            <w:tcW w:type="dxa" w:w="7460"/>
            <w:tcMar>
              <w:top w:w="90" w:type="dxa"/>
              <w:start w:w="120" w:type="dxa"/>
              <w:bottom w:w="90" w:type="dxa"/>
              <w:end w:w="120" w:type="dxa"/>
            </w:tcMar>
            <w:vAlign w:val="center"/>
            <w:shd w:fill="E8EEF5"/>
          </w:tcPr>
          <w:p>
            <w:r>
              <w:rPr>
                <w:b/>
                <w:color w:val="1F3748"/>
                <w:sz w:val="19"/>
              </w:rPr>
              <w:t>Angabe</w:t>
            </w:r>
          </w:p>
        </w:tc>
      </w:tr>
      <w:tr>
        <w:tc>
          <w:tcPr>
            <w:tcW w:type="dxa" w:w="1900"/>
            <w:tcMar>
              <w:top w:w="90" w:type="dxa"/>
              <w:start w:w="120" w:type="dxa"/>
              <w:bottom w:w="90" w:type="dxa"/>
              <w:end w:w="120" w:type="dxa"/>
            </w:tcMar>
            <w:vAlign w:val="center"/>
          </w:tcPr>
          <w:p>
            <w:pPr>
              <w:spacing w:after="40" w:line="252" w:lineRule="auto"/>
            </w:pPr>
            <w:r>
              <w:rPr>
                <w:sz w:val="18"/>
              </w:rPr>
              <w:t>Vollständiger Titel</w:t>
            </w:r>
          </w:p>
        </w:tc>
        <w:tc>
          <w:tcPr>
            <w:tcW w:type="dxa" w:w="7460"/>
            <w:tcMar>
              <w:top w:w="90" w:type="dxa"/>
              <w:start w:w="120" w:type="dxa"/>
              <w:bottom w:w="90" w:type="dxa"/>
              <w:end w:w="120" w:type="dxa"/>
            </w:tcMar>
            <w:vAlign w:val="center"/>
          </w:tcPr>
          <w:p>
            <w:pPr>
              <w:spacing w:after="40" w:line="252" w:lineRule="auto"/>
            </w:pPr>
            <w:r>
              <w:rPr>
                <w:sz w:val="18"/>
              </w:rPr>
              <w:t>Bionische Regeneration. Das Altern aufhalten mit den geheimen Strategien der Natur</w:t>
            </w:r>
          </w:p>
        </w:tc>
      </w:tr>
      <w:tr>
        <w:tc>
          <w:tcPr>
            <w:tcW w:type="dxa" w:w="1900"/>
            <w:tcMar>
              <w:top w:w="90" w:type="dxa"/>
              <w:start w:w="120" w:type="dxa"/>
              <w:bottom w:w="90" w:type="dxa"/>
              <w:end w:w="120" w:type="dxa"/>
            </w:tcMar>
            <w:vAlign w:val="center"/>
          </w:tcPr>
          <w:p>
            <w:pPr>
              <w:spacing w:after="40" w:line="252" w:lineRule="auto"/>
            </w:pPr>
            <w:r>
              <w:rPr>
                <w:sz w:val="18"/>
              </w:rPr>
              <w:t>Autor</w:t>
            </w:r>
          </w:p>
        </w:tc>
        <w:tc>
          <w:tcPr>
            <w:tcW w:type="dxa" w:w="7460"/>
            <w:tcMar>
              <w:top w:w="90" w:type="dxa"/>
              <w:start w:w="120" w:type="dxa"/>
              <w:bottom w:w="90" w:type="dxa"/>
              <w:end w:w="120" w:type="dxa"/>
            </w:tcMar>
            <w:vAlign w:val="center"/>
          </w:tcPr>
          <w:p>
            <w:pPr>
              <w:spacing w:after="40" w:line="252" w:lineRule="auto"/>
            </w:pPr>
            <w:r>
              <w:rPr>
                <w:sz w:val="18"/>
              </w:rPr>
              <w:t>Ulrich Warnke; bibliografische Einträge nennen bei einzelnen Ausgaben auch Florian Warnke als beteiligte Person.</w:t>
            </w:r>
          </w:p>
        </w:tc>
      </w:tr>
      <w:tr>
        <w:tc>
          <w:tcPr>
            <w:tcW w:type="dxa" w:w="1900"/>
            <w:tcMar>
              <w:top w:w="90" w:type="dxa"/>
              <w:start w:w="120" w:type="dxa"/>
              <w:bottom w:w="90" w:type="dxa"/>
              <w:end w:w="120" w:type="dxa"/>
            </w:tcMar>
            <w:vAlign w:val="center"/>
          </w:tcPr>
          <w:p>
            <w:pPr>
              <w:spacing w:after="40" w:line="252" w:lineRule="auto"/>
            </w:pPr>
            <w:r>
              <w:rPr>
                <w:sz w:val="18"/>
              </w:rPr>
              <w:t>Erstausgabe</w:t>
            </w:r>
          </w:p>
        </w:tc>
        <w:tc>
          <w:tcPr>
            <w:tcW w:type="dxa" w:w="7460"/>
            <w:tcMar>
              <w:top w:w="90" w:type="dxa"/>
              <w:start w:w="120" w:type="dxa"/>
              <w:bottom w:w="90" w:type="dxa"/>
              <w:end w:w="120" w:type="dxa"/>
            </w:tcMar>
            <w:vAlign w:val="center"/>
          </w:tcPr>
          <w:p>
            <w:pPr>
              <w:spacing w:after="40" w:line="252" w:lineRule="auto"/>
            </w:pPr>
            <w:r>
              <w:rPr>
                <w:sz w:val="18"/>
              </w:rPr>
              <w:t>Arkana, 2017; ca. 608 Seiten; ISBN 978-3-442-34217-4.</w:t>
            </w:r>
          </w:p>
        </w:tc>
      </w:tr>
      <w:tr>
        <w:tc>
          <w:tcPr>
            <w:tcW w:type="dxa" w:w="1900"/>
            <w:tcMar>
              <w:top w:w="90" w:type="dxa"/>
              <w:start w:w="120" w:type="dxa"/>
              <w:bottom w:w="90" w:type="dxa"/>
              <w:end w:w="120" w:type="dxa"/>
            </w:tcMar>
            <w:vAlign w:val="center"/>
          </w:tcPr>
          <w:p>
            <w:pPr>
              <w:spacing w:after="40" w:line="252" w:lineRule="auto"/>
            </w:pPr>
            <w:r>
              <w:rPr>
                <w:sz w:val="18"/>
              </w:rPr>
              <w:t>Taschenbuch</w:t>
            </w:r>
          </w:p>
        </w:tc>
        <w:tc>
          <w:tcPr>
            <w:tcW w:type="dxa" w:w="7460"/>
            <w:tcMar>
              <w:top w:w="90" w:type="dxa"/>
              <w:start w:w="120" w:type="dxa"/>
              <w:bottom w:w="90" w:type="dxa"/>
              <w:end w:w="120" w:type="dxa"/>
            </w:tcMar>
            <w:vAlign w:val="center"/>
          </w:tcPr>
          <w:p>
            <w:pPr>
              <w:spacing w:after="40" w:line="252" w:lineRule="auto"/>
            </w:pPr>
            <w:r>
              <w:rPr>
                <w:sz w:val="18"/>
              </w:rPr>
              <w:t>Goldmann, 2021; ISBN 978-3-442-22144-8.</w:t>
            </w:r>
          </w:p>
        </w:tc>
      </w:tr>
      <w:tr>
        <w:tc>
          <w:tcPr>
            <w:tcW w:type="dxa" w:w="1900"/>
            <w:tcMar>
              <w:top w:w="90" w:type="dxa"/>
              <w:start w:w="120" w:type="dxa"/>
              <w:bottom w:w="90" w:type="dxa"/>
              <w:end w:w="120" w:type="dxa"/>
            </w:tcMar>
            <w:vAlign w:val="center"/>
          </w:tcPr>
          <w:p>
            <w:pPr>
              <w:spacing w:after="40" w:line="252" w:lineRule="auto"/>
            </w:pPr>
            <w:r>
              <w:rPr>
                <w:sz w:val="18"/>
              </w:rPr>
              <w:t>Themen</w:t>
            </w:r>
          </w:p>
        </w:tc>
        <w:tc>
          <w:tcPr>
            <w:tcW w:type="dxa" w:w="7460"/>
            <w:tcMar>
              <w:top w:w="90" w:type="dxa"/>
              <w:start w:w="120" w:type="dxa"/>
              <w:bottom w:w="90" w:type="dxa"/>
              <w:end w:w="120" w:type="dxa"/>
            </w:tcMar>
            <w:vAlign w:val="center"/>
          </w:tcPr>
          <w:p>
            <w:pPr>
              <w:spacing w:after="40" w:line="252" w:lineRule="auto"/>
            </w:pPr>
            <w:r>
              <w:rPr>
                <w:sz w:val="18"/>
              </w:rPr>
              <w:t>Altern, Epigenetik, Zellregeneration, Telomere, Lebensstil, Ernährung, Licht/Vitamin D, bionische Medizin.</w:t>
            </w:r>
          </w:p>
        </w:tc>
      </w:tr>
      <w:tr>
        <w:tc>
          <w:tcPr>
            <w:tcW w:type="dxa" w:w="1900"/>
            <w:tcMar>
              <w:top w:w="90" w:type="dxa"/>
              <w:start w:w="120" w:type="dxa"/>
              <w:bottom w:w="90" w:type="dxa"/>
              <w:end w:w="120" w:type="dxa"/>
            </w:tcMar>
            <w:vAlign w:val="center"/>
          </w:tcPr>
          <w:p>
            <w:pPr>
              <w:spacing w:after="40" w:line="252" w:lineRule="auto"/>
            </w:pPr>
            <w:r>
              <w:rPr>
                <w:sz w:val="18"/>
              </w:rPr>
              <w:t>Gattung</w:t>
            </w:r>
          </w:p>
        </w:tc>
        <w:tc>
          <w:tcPr>
            <w:tcW w:type="dxa" w:w="7460"/>
            <w:tcMar>
              <w:top w:w="90" w:type="dxa"/>
              <w:start w:w="120" w:type="dxa"/>
              <w:bottom w:w="90" w:type="dxa"/>
              <w:end w:w="120" w:type="dxa"/>
            </w:tcMar>
            <w:vAlign w:val="center"/>
          </w:tcPr>
          <w:p>
            <w:pPr>
              <w:spacing w:after="40" w:line="252" w:lineRule="auto"/>
            </w:pPr>
            <w:r>
              <w:rPr>
                <w:sz w:val="18"/>
              </w:rPr>
              <w:t>Populärwissenschaftlicher Gesundheits- und Anti-Aging-Ratgeber; kein klinisches Leitlinienwerk.</w:t>
            </w:r>
          </w:p>
        </w:tc>
      </w:tr>
    </w:tbl>
    <w:p>
      <w:pPr>
        <w:widowControl/>
        <w:spacing w:after="20"/>
      </w:pPr>
    </w:p>
    <w:p>
      <w:pPr>
        <w:pStyle w:val="Heading2"/>
        <w:widowControl/>
      </w:pPr>
      <w:r>
        <w:t>6.1 Grundidee</w:t>
      </w:r>
    </w:p>
    <w:p>
      <w:pPr>
        <w:widowControl/>
      </w:pPr>
      <w:r>
        <w:t>Das Buch folgt einer bionischen Leitfrage: Wenn bestimmte Organismen außergewöhnliche Regenerationsfähigkeit oder Langlebigkeit besitzen, welche zugrunde liegenden Prinzipien könnten für den Menschen relevant sein? Warnke stellt Altern nicht als unveränderliches Schicksal dar, sondern als biologischen Prozess, der durch Genregulation, Umwelt, Stoffwechsel und Verhalten beeinflusst werden könne.</w:t>
      </w:r>
    </w:p>
    <w:p>
      <w:pPr>
        <w:pStyle w:val="Heading2"/>
        <w:widowControl/>
      </w:pPr>
      <w:r>
        <w:t>6.2 Was daran wissenschaftlich anschlussfähig ist</w:t>
      </w:r>
    </w:p>
    <w:p>
      <w:pPr>
        <w:pStyle w:val="ListBullet"/>
        <w:widowControl/>
        <w:spacing w:after="80" w:line="264" w:lineRule="auto"/>
        <w:ind w:left="720" w:hanging="360"/>
      </w:pPr>
      <w:r>
        <w:t>Altern ist biologisch veränderlich und umfasst mehrere miteinander gekoppelte Prozesse. Die aktuelle Gerowissenschaft beschreibt zwölf „Hallmarks of Aging“, darunter genomische Instabilität, Telomerverkürzung, epigenetische Veränderungen, gestörte Proteostase und chronische Entzündung.</w:t>
      </w:r>
    </w:p>
    <w:p>
      <w:pPr>
        <w:pStyle w:val="ListBullet"/>
        <w:widowControl/>
        <w:spacing w:after="80" w:line="264" w:lineRule="auto"/>
        <w:ind w:left="720" w:hanging="360"/>
      </w:pPr>
      <w:r>
        <w:t>Epigenetische Muster reagieren teilweise auf Umwelt- und Lebensstilfaktoren. Daraus folgt aber nicht, dass man beliebig „gute Gene einschalten“ oder „schlechte Gene ausschalten“ kann.</w:t>
      </w:r>
    </w:p>
    <w:p>
      <w:pPr>
        <w:pStyle w:val="ListBullet"/>
        <w:widowControl/>
        <w:spacing w:after="80" w:line="264" w:lineRule="auto"/>
        <w:ind w:left="720" w:hanging="360"/>
      </w:pPr>
      <w:r>
        <w:t>Bewegung, ausgewogene Ernährung, Nichtrauchen, ausreichender Schlaf, soziale Aktivität und die Behandlung von Risikofaktoren verbessern nachweislich Gesundheit und Funktionsfähigkeit im Alter.</w:t>
      </w:r>
    </w:p>
    <w:p>
      <w:pPr>
        <w:pStyle w:val="ListBullet"/>
        <w:widowControl/>
        <w:spacing w:after="80" w:line="264" w:lineRule="auto"/>
        <w:ind w:left="720" w:hanging="360"/>
      </w:pPr>
      <w:r>
        <w:t>Stress, Erwartung und psychische Verfassung können physiologische Prozesse beeinflussen; Placebo- und Noceboeffekte sind reale Forschungsfelder. Sie ersetzen keine kausale Therapie schwerer Erkrankungen.</w:t>
      </w:r>
    </w:p>
    <w:p>
      <w:pPr>
        <w:pStyle w:val="Heading2"/>
        <w:widowControl/>
      </w:pPr>
      <w:r>
        <w:t>6.3 Wo Vorsicht erforderlich ist</w:t>
      </w:r>
    </w:p>
    <w:p>
      <w:pPr>
        <w:pStyle w:val="ListBullet"/>
        <w:widowControl/>
        <w:spacing w:after="80" w:line="264" w:lineRule="auto"/>
        <w:ind w:left="720" w:hanging="360"/>
      </w:pPr>
      <w:r>
        <w:t>Der Untertitel „Das Altern aufhalten“ ist stärker als die klinische Evidenz. Beim Menschen kann man Gesundheitsrisiken senken und funktionelles Altern günstig beeinflussen; ein zuverlässiges Stoppen des Alterns ist nicht belegt.</w:t>
      </w:r>
    </w:p>
    <w:p>
      <w:pPr>
        <w:pStyle w:val="ListBullet"/>
        <w:widowControl/>
        <w:spacing w:after="80" w:line="264" w:lineRule="auto"/>
        <w:ind w:left="720" w:hanging="360"/>
      </w:pPr>
      <w:r>
        <w:t>Mechanistische Erkenntnisse aus Zellen, Tieren oder Modellorganismen lassen sich nicht automatisch in wirksame Maßnahmen für Menschen übersetzen.</w:t>
      </w:r>
    </w:p>
    <w:p>
      <w:pPr>
        <w:pStyle w:val="ListBullet"/>
        <w:widowControl/>
        <w:spacing w:after="80" w:line="264" w:lineRule="auto"/>
        <w:ind w:left="720" w:hanging="360"/>
      </w:pPr>
      <w:r>
        <w:t>Einzelne Biomarker wie Telomerlänge oder epigenetische Uhren sind Forschungsinstrumente. Veränderungen solcher Marker beweisen nicht automatisch eine längere Lebensdauer oder einen klinischen Nutzen.</w:t>
      </w:r>
    </w:p>
    <w:p>
      <w:pPr>
        <w:pStyle w:val="ListBullet"/>
        <w:widowControl/>
        <w:spacing w:after="80" w:line="264" w:lineRule="auto"/>
        <w:ind w:left="720" w:hanging="360"/>
      </w:pPr>
      <w:r>
        <w:t>Nahrungsergänzung, Hormone, extreme Diäten oder technische Verfahren benötigen jeweils eigene Wirksamkeits- und Sicherheitsnachweise. „Natürlich“ oder „bionisch“ bedeutet nicht automatisch wirksam oder risikofrei.</w:t>
      </w:r>
    </w:p>
    <w:p>
      <w:pPr>
        <w:pStyle w:val="ListBullet"/>
        <w:widowControl/>
        <w:spacing w:after="80" w:line="264" w:lineRule="auto"/>
        <w:ind w:left="720" w:hanging="360"/>
      </w:pPr>
      <w:r>
        <w:t>Quantenphysikalische Begriffe liefern ohne konkrete, testbare Mechanismen keine zusätzliche medizinische Evidenz.</w:t>
      </w:r>
    </w:p>
    <w:p>
      <w:pPr>
        <w:pStyle w:val="Heading1"/>
        <w:widowControl/>
      </w:pPr>
      <w:r>
        <w:t>7. Wissenschaftliche Einordnung von Warnkes Ansatz</w:t>
      </w:r>
    </w:p>
    <w:tbl>
      <w:tblPr>
        <w:tblStyle w:val="TableGrid"/>
        <w:tblW w:type="dxa" w:w="9360"/>
        <w:jc w:val="left"/>
        <w:tblLayout w:type="fixed"/>
        <w:tblLook w:firstColumn="1" w:firstRow="1" w:lastColumn="0" w:lastRow="0" w:noHBand="0" w:noVBand="1" w:val="04A0"/>
      </w:tblPr>
      <w:tblGrid>
        <w:gridCol w:w="2100"/>
        <w:gridCol w:w="1900"/>
        <w:gridCol w:w="5360"/>
      </w:tblGrid>
      <w:tr>
        <w:tc>
          <w:tcPr>
            <w:tcW w:type="dxa" w:w="2100"/>
            <w:tcMar>
              <w:top w:w="90" w:type="dxa"/>
              <w:start w:w="120" w:type="dxa"/>
              <w:bottom w:w="90" w:type="dxa"/>
              <w:end w:w="120" w:type="dxa"/>
            </w:tcMar>
            <w:vAlign w:val="center"/>
            <w:shd w:fill="E8EEF5"/>
          </w:tcPr>
          <w:p>
            <w:r>
              <w:rPr>
                <w:b/>
                <w:color w:val="1F3748"/>
                <w:sz w:val="19"/>
              </w:rPr>
              <w:t>Aussagentyp</w:t>
            </w:r>
          </w:p>
        </w:tc>
        <w:tc>
          <w:tcPr>
            <w:tcW w:type="dxa" w:w="1900"/>
            <w:tcMar>
              <w:top w:w="90" w:type="dxa"/>
              <w:start w:w="120" w:type="dxa"/>
              <w:bottom w:w="90" w:type="dxa"/>
              <w:end w:w="120" w:type="dxa"/>
            </w:tcMar>
            <w:vAlign w:val="center"/>
            <w:shd w:fill="E8EEF5"/>
          </w:tcPr>
          <w:p>
            <w:r>
              <w:rPr>
                <w:b/>
                <w:color w:val="1F3748"/>
                <w:sz w:val="19"/>
              </w:rPr>
              <w:t>Bewertung</w:t>
            </w:r>
          </w:p>
        </w:tc>
        <w:tc>
          <w:tcPr>
            <w:tcW w:type="dxa" w:w="5360"/>
            <w:tcMar>
              <w:top w:w="90" w:type="dxa"/>
              <w:start w:w="120" w:type="dxa"/>
              <w:bottom w:w="90" w:type="dxa"/>
              <w:end w:w="120" w:type="dxa"/>
            </w:tcMar>
            <w:vAlign w:val="center"/>
            <w:shd w:fill="E8EEF5"/>
          </w:tcPr>
          <w:p>
            <w:r>
              <w:rPr>
                <w:b/>
                <w:color w:val="1F3748"/>
                <w:sz w:val="19"/>
              </w:rPr>
              <w:t>Begründung</w:t>
            </w:r>
          </w:p>
        </w:tc>
      </w:tr>
      <w:tr>
        <w:tc>
          <w:tcPr>
            <w:tcW w:type="dxa" w:w="2100"/>
            <w:tcMar>
              <w:top w:w="90" w:type="dxa"/>
              <w:start w:w="120" w:type="dxa"/>
              <w:bottom w:w="90" w:type="dxa"/>
              <w:end w:w="120" w:type="dxa"/>
            </w:tcMar>
            <w:vAlign w:val="center"/>
          </w:tcPr>
          <w:p>
            <w:pPr>
              <w:spacing w:after="40" w:line="252" w:lineRule="auto"/>
            </w:pPr>
            <w:r>
              <w:rPr>
                <w:sz w:val="18"/>
              </w:rPr>
              <w:t>Biologische Alterungsprozesse sind beeinflussbar</w:t>
            </w:r>
          </w:p>
        </w:tc>
        <w:tc>
          <w:tcPr>
            <w:tcW w:type="dxa" w:w="1900"/>
            <w:tcMar>
              <w:top w:w="90" w:type="dxa"/>
              <w:start w:w="120" w:type="dxa"/>
              <w:bottom w:w="90" w:type="dxa"/>
              <w:end w:w="120" w:type="dxa"/>
            </w:tcMar>
            <w:vAlign w:val="center"/>
          </w:tcPr>
          <w:p>
            <w:pPr>
              <w:spacing w:after="40" w:line="252" w:lineRule="auto"/>
            </w:pPr>
            <w:r>
              <w:rPr>
                <w:sz w:val="18"/>
              </w:rPr>
              <w:t>Gut anschlussfähig</w:t>
            </w:r>
          </w:p>
        </w:tc>
        <w:tc>
          <w:tcPr>
            <w:tcW w:type="dxa" w:w="5360"/>
            <w:tcMar>
              <w:top w:w="90" w:type="dxa"/>
              <w:start w:w="120" w:type="dxa"/>
              <w:bottom w:w="90" w:type="dxa"/>
              <w:end w:w="120" w:type="dxa"/>
            </w:tcMar>
            <w:vAlign w:val="center"/>
          </w:tcPr>
          <w:p>
            <w:pPr>
              <w:spacing w:after="40" w:line="252" w:lineRule="auto"/>
            </w:pPr>
            <w:r>
              <w:rPr>
                <w:sz w:val="18"/>
              </w:rPr>
              <w:t>Lebensstil und Prävention beeinflussen Erkrankungsrisiken, Funktionsfähigkeit und einige Biomarker.</w:t>
            </w:r>
          </w:p>
        </w:tc>
      </w:tr>
      <w:tr>
        <w:tc>
          <w:tcPr>
            <w:tcW w:type="dxa" w:w="2100"/>
            <w:tcMar>
              <w:top w:w="90" w:type="dxa"/>
              <w:start w:w="120" w:type="dxa"/>
              <w:bottom w:w="90" w:type="dxa"/>
              <w:end w:w="120" w:type="dxa"/>
            </w:tcMar>
            <w:vAlign w:val="center"/>
          </w:tcPr>
          <w:p>
            <w:pPr>
              <w:spacing w:after="40" w:line="252" w:lineRule="auto"/>
            </w:pPr>
            <w:r>
              <w:rPr>
                <w:sz w:val="18"/>
              </w:rPr>
              <w:t>Epigenetik verbindet Umwelt und Genaktivität</w:t>
            </w:r>
          </w:p>
        </w:tc>
        <w:tc>
          <w:tcPr>
            <w:tcW w:type="dxa" w:w="1900"/>
            <w:tcMar>
              <w:top w:w="90" w:type="dxa"/>
              <w:start w:w="120" w:type="dxa"/>
              <w:bottom w:w="90" w:type="dxa"/>
              <w:end w:w="120" w:type="dxa"/>
            </w:tcMar>
            <w:vAlign w:val="center"/>
          </w:tcPr>
          <w:p>
            <w:pPr>
              <w:spacing w:after="40" w:line="252" w:lineRule="auto"/>
            </w:pPr>
            <w:r>
              <w:rPr>
                <w:sz w:val="18"/>
              </w:rPr>
              <w:t>Grundsätzlich richtig</w:t>
            </w:r>
          </w:p>
        </w:tc>
        <w:tc>
          <w:tcPr>
            <w:tcW w:type="dxa" w:w="5360"/>
            <w:tcMar>
              <w:top w:w="90" w:type="dxa"/>
              <w:start w:w="120" w:type="dxa"/>
              <w:bottom w:w="90" w:type="dxa"/>
              <w:end w:w="120" w:type="dxa"/>
            </w:tcMar>
            <w:vAlign w:val="center"/>
          </w:tcPr>
          <w:p>
            <w:pPr>
              <w:spacing w:after="40" w:line="252" w:lineRule="auto"/>
            </w:pPr>
            <w:r>
              <w:rPr>
                <w:sz w:val="18"/>
              </w:rPr>
              <w:t>Genregulation ist dynamisch; populäre Formulierungen vereinfachen jedoch oft komplexe, gewebespezifische Prozesse.</w:t>
            </w:r>
          </w:p>
        </w:tc>
      </w:tr>
      <w:tr>
        <w:tc>
          <w:tcPr>
            <w:tcW w:type="dxa" w:w="2100"/>
            <w:tcMar>
              <w:top w:w="90" w:type="dxa"/>
              <w:start w:w="120" w:type="dxa"/>
              <w:bottom w:w="90" w:type="dxa"/>
              <w:end w:w="120" w:type="dxa"/>
            </w:tcMar>
            <w:vAlign w:val="center"/>
          </w:tcPr>
          <w:p>
            <w:pPr>
              <w:spacing w:after="40" w:line="252" w:lineRule="auto"/>
            </w:pPr>
            <w:r>
              <w:rPr>
                <w:sz w:val="18"/>
              </w:rPr>
              <w:t>Naturprinzipien können Technik/Medizin inspirieren</w:t>
            </w:r>
          </w:p>
        </w:tc>
        <w:tc>
          <w:tcPr>
            <w:tcW w:type="dxa" w:w="1900"/>
            <w:tcMar>
              <w:top w:w="90" w:type="dxa"/>
              <w:start w:w="120" w:type="dxa"/>
              <w:bottom w:w="90" w:type="dxa"/>
              <w:end w:w="120" w:type="dxa"/>
            </w:tcMar>
            <w:vAlign w:val="center"/>
          </w:tcPr>
          <w:p>
            <w:pPr>
              <w:spacing w:after="40" w:line="252" w:lineRule="auto"/>
            </w:pPr>
            <w:r>
              <w:rPr>
                <w:sz w:val="18"/>
              </w:rPr>
              <w:t>Richtig als Forschungsheuristik</w:t>
            </w:r>
          </w:p>
        </w:tc>
        <w:tc>
          <w:tcPr>
            <w:tcW w:type="dxa" w:w="5360"/>
            <w:tcMar>
              <w:top w:w="90" w:type="dxa"/>
              <w:start w:w="120" w:type="dxa"/>
              <w:bottom w:w="90" w:type="dxa"/>
              <w:end w:w="120" w:type="dxa"/>
            </w:tcMar>
            <w:vAlign w:val="center"/>
          </w:tcPr>
          <w:p>
            <w:pPr>
              <w:spacing w:after="40" w:line="252" w:lineRule="auto"/>
            </w:pPr>
            <w:r>
              <w:rPr>
                <w:sz w:val="18"/>
              </w:rPr>
              <w:t>Bionik ist etabliert; jede Anwendung braucht dennoch experimentelle und klinische Prüfung.</w:t>
            </w:r>
          </w:p>
        </w:tc>
      </w:tr>
      <w:tr>
        <w:tc>
          <w:tcPr>
            <w:tcW w:type="dxa" w:w="2100"/>
            <w:tcMar>
              <w:top w:w="90" w:type="dxa"/>
              <w:start w:w="120" w:type="dxa"/>
              <w:bottom w:w="90" w:type="dxa"/>
              <w:end w:w="120" w:type="dxa"/>
            </w:tcMar>
            <w:vAlign w:val="center"/>
          </w:tcPr>
          <w:p>
            <w:pPr>
              <w:spacing w:after="40" w:line="252" w:lineRule="auto"/>
            </w:pPr>
            <w:r>
              <w:rPr>
                <w:sz w:val="18"/>
              </w:rPr>
              <w:t>Altern lässt sich durch ein Programm stoppen</w:t>
            </w:r>
          </w:p>
        </w:tc>
        <w:tc>
          <w:tcPr>
            <w:tcW w:type="dxa" w:w="1900"/>
            <w:tcMar>
              <w:top w:w="90" w:type="dxa"/>
              <w:start w:w="120" w:type="dxa"/>
              <w:bottom w:w="90" w:type="dxa"/>
              <w:end w:w="120" w:type="dxa"/>
            </w:tcMar>
            <w:vAlign w:val="center"/>
          </w:tcPr>
          <w:p>
            <w:pPr>
              <w:spacing w:after="40" w:line="252" w:lineRule="auto"/>
            </w:pPr>
            <w:r>
              <w:rPr>
                <w:sz w:val="18"/>
              </w:rPr>
              <w:t>Nicht belegt</w:t>
            </w:r>
          </w:p>
        </w:tc>
        <w:tc>
          <w:tcPr>
            <w:tcW w:type="dxa" w:w="5360"/>
            <w:tcMar>
              <w:top w:w="90" w:type="dxa"/>
              <w:start w:w="120" w:type="dxa"/>
              <w:bottom w:w="90" w:type="dxa"/>
              <w:end w:w="120" w:type="dxa"/>
            </w:tcMar>
            <w:vAlign w:val="center"/>
          </w:tcPr>
          <w:p>
            <w:pPr>
              <w:spacing w:after="40" w:line="252" w:lineRule="auto"/>
            </w:pPr>
            <w:r>
              <w:rPr>
                <w:sz w:val="18"/>
              </w:rPr>
              <w:t>Es gibt keine allgemein anerkannte Intervention, die menschliches Altern zuverlässig stoppt.</w:t>
            </w:r>
          </w:p>
        </w:tc>
      </w:tr>
      <w:tr>
        <w:tc>
          <w:tcPr>
            <w:tcW w:type="dxa" w:w="2100"/>
            <w:tcMar>
              <w:top w:w="90" w:type="dxa"/>
              <w:start w:w="120" w:type="dxa"/>
              <w:bottom w:w="90" w:type="dxa"/>
              <w:end w:w="120" w:type="dxa"/>
            </w:tcMar>
            <w:vAlign w:val="center"/>
          </w:tcPr>
          <w:p>
            <w:pPr>
              <w:spacing w:after="40" w:line="252" w:lineRule="auto"/>
            </w:pPr>
            <w:r>
              <w:rPr>
                <w:sz w:val="18"/>
              </w:rPr>
              <w:t>Quantenphänomene erklären Bewusstsein oder Heilung</w:t>
            </w:r>
          </w:p>
        </w:tc>
        <w:tc>
          <w:tcPr>
            <w:tcW w:type="dxa" w:w="1900"/>
            <w:tcMar>
              <w:top w:w="90" w:type="dxa"/>
              <w:start w:w="120" w:type="dxa"/>
              <w:bottom w:w="90" w:type="dxa"/>
              <w:end w:w="120" w:type="dxa"/>
            </w:tcMar>
            <w:vAlign w:val="center"/>
          </w:tcPr>
          <w:p>
            <w:pPr>
              <w:spacing w:after="40" w:line="252" w:lineRule="auto"/>
            </w:pPr>
            <w:r>
              <w:rPr>
                <w:sz w:val="18"/>
              </w:rPr>
              <w:t>Spekulativ/umstritten</w:t>
            </w:r>
          </w:p>
        </w:tc>
        <w:tc>
          <w:tcPr>
            <w:tcW w:type="dxa" w:w="5360"/>
            <w:tcMar>
              <w:top w:w="90" w:type="dxa"/>
              <w:start w:w="120" w:type="dxa"/>
              <w:bottom w:w="90" w:type="dxa"/>
              <w:end w:w="120" w:type="dxa"/>
            </w:tcMar>
            <w:vAlign w:val="center"/>
          </w:tcPr>
          <w:p>
            <w:pPr>
              <w:spacing w:after="40" w:line="252" w:lineRule="auto"/>
            </w:pPr>
            <w:r>
              <w:rPr>
                <w:sz w:val="18"/>
              </w:rPr>
              <w:t>Zwischen Quantenphysik auf mikroskopischer Ebene und psychologischen bzw. spirituellen Aussagen fehlen meist belastbare Ableitungen.</w:t>
            </w:r>
          </w:p>
        </w:tc>
      </w:tr>
      <w:tr>
        <w:tc>
          <w:tcPr>
            <w:tcW w:type="dxa" w:w="2100"/>
            <w:tcMar>
              <w:top w:w="90" w:type="dxa"/>
              <w:start w:w="120" w:type="dxa"/>
              <w:bottom w:w="90" w:type="dxa"/>
              <w:end w:w="120" w:type="dxa"/>
            </w:tcMar>
            <w:vAlign w:val="center"/>
          </w:tcPr>
          <w:p>
            <w:pPr>
              <w:spacing w:after="40" w:line="252" w:lineRule="auto"/>
            </w:pPr>
            <w:r>
              <w:rPr>
                <w:sz w:val="18"/>
              </w:rPr>
              <w:t>Elektromagnetische Felder sind zentrale Krankheitsursache</w:t>
            </w:r>
          </w:p>
        </w:tc>
        <w:tc>
          <w:tcPr>
            <w:tcW w:type="dxa" w:w="1900"/>
            <w:tcMar>
              <w:top w:w="90" w:type="dxa"/>
              <w:start w:w="120" w:type="dxa"/>
              <w:bottom w:w="90" w:type="dxa"/>
              <w:end w:w="120" w:type="dxa"/>
            </w:tcMar>
            <w:vAlign w:val="center"/>
          </w:tcPr>
          <w:p>
            <w:pPr>
              <w:spacing w:after="40" w:line="252" w:lineRule="auto"/>
            </w:pPr>
            <w:r>
              <w:rPr>
                <w:sz w:val="18"/>
              </w:rPr>
              <w:t>Nur differenziert bewertbar</w:t>
            </w:r>
          </w:p>
        </w:tc>
        <w:tc>
          <w:tcPr>
            <w:tcW w:type="dxa" w:w="5360"/>
            <w:tcMar>
              <w:top w:w="90" w:type="dxa"/>
              <w:start w:w="120" w:type="dxa"/>
              <w:bottom w:w="90" w:type="dxa"/>
              <w:end w:w="120" w:type="dxa"/>
            </w:tcMar>
            <w:vAlign w:val="center"/>
          </w:tcPr>
          <w:p>
            <w:pPr>
              <w:spacing w:after="40" w:line="252" w:lineRule="auto"/>
            </w:pPr>
            <w:r>
              <w:rPr>
                <w:sz w:val="18"/>
              </w:rPr>
              <w:t>Wirkungen hängen stark von Frequenz, Intensität, Exposition und Endpunkt ab; pauschale Aussagen überschreiten die Evidenz.</w:t>
            </w:r>
          </w:p>
        </w:tc>
      </w:tr>
    </w:tbl>
    <w:p>
      <w:pPr>
        <w:widowControl/>
        <w:spacing w:after="20"/>
      </w:pPr>
    </w:p>
    <w:p>
      <w:pPr>
        <w:widowControl/>
      </w:pPr>
      <w:r>
        <w:br w:type="page"/>
      </w:r>
    </w:p>
    <w:p>
      <w:pPr>
        <w:pStyle w:val="Heading1"/>
        <w:widowControl/>
      </w:pPr>
      <w:r>
        <w:t>8. Stärken und Grenzen des Gesamtwerks</w:t>
      </w:r>
    </w:p>
    <w:p>
      <w:pPr>
        <w:pStyle w:val="Heading2"/>
        <w:widowControl/>
      </w:pPr>
      <w:r>
        <w:t>Stärken</w:t>
      </w:r>
    </w:p>
    <w:p>
      <w:pPr>
        <w:pStyle w:val="ListBullet"/>
        <w:widowControl/>
        <w:spacing w:after="80" w:line="264" w:lineRule="auto"/>
        <w:ind w:left="720" w:hanging="360"/>
      </w:pPr>
      <w:r>
        <w:t>Ausgeprägtes interdisziplinäres Denken zwischen Biologie, Physik, Psychologie und Technik.</w:t>
      </w:r>
    </w:p>
    <w:p>
      <w:pPr>
        <w:pStyle w:val="ListBullet"/>
        <w:widowControl/>
        <w:spacing w:after="80" w:line="264" w:lineRule="auto"/>
        <w:ind w:left="720" w:hanging="360"/>
      </w:pPr>
      <w:r>
        <w:t>Frühe Aufmerksamkeit für Bioelektrizität, Tierorientierung und Umweltfaktoren.</w:t>
      </w:r>
    </w:p>
    <w:p>
      <w:pPr>
        <w:pStyle w:val="ListBullet"/>
        <w:widowControl/>
        <w:spacing w:after="80" w:line="264" w:lineRule="auto"/>
        <w:ind w:left="720" w:hanging="360"/>
      </w:pPr>
      <w:r>
        <w:t>Anschauliche Vermittlung komplexer Themen und hohe Motivation zur Selbstverantwortung.</w:t>
      </w:r>
    </w:p>
    <w:p>
      <w:pPr>
        <w:pStyle w:val="ListBullet"/>
        <w:widowControl/>
        <w:spacing w:after="80" w:line="264" w:lineRule="auto"/>
        <w:ind w:left="720" w:hanging="360"/>
      </w:pPr>
      <w:r>
        <w:t>Ein zentraler, heute anschlussfähiger Gedanke: Gesundheit entsteht aus dem Zusammenspiel von Biologie, Verhalten und Umwelt.</w:t>
      </w:r>
    </w:p>
    <w:p>
      <w:pPr>
        <w:pStyle w:val="Heading2"/>
        <w:widowControl/>
      </w:pPr>
      <w:r>
        <w:t>Grenzen</w:t>
      </w:r>
    </w:p>
    <w:p>
      <w:pPr>
        <w:pStyle w:val="ListBullet"/>
        <w:widowControl/>
        <w:spacing w:after="80" w:line="264" w:lineRule="auto"/>
        <w:ind w:left="720" w:hanging="360"/>
      </w:pPr>
      <w:r>
        <w:t>Häufige Übergänge von plausiblen Mechanismen zu weitreichenden Schlussfolgerungen, ohne dass die Evidenzstufe klar markiert wird.</w:t>
      </w:r>
    </w:p>
    <w:p>
      <w:pPr>
        <w:pStyle w:val="ListBullet"/>
        <w:widowControl/>
        <w:spacing w:after="80" w:line="264" w:lineRule="auto"/>
        <w:ind w:left="720" w:hanging="360"/>
      </w:pPr>
      <w:r>
        <w:t>Vermischung von Naturwissenschaft, Philosophie, persönlicher Deutung und Spiritualität.</w:t>
      </w:r>
    </w:p>
    <w:p>
      <w:pPr>
        <w:pStyle w:val="ListBullet"/>
        <w:widowControl/>
        <w:spacing w:after="80" w:line="264" w:lineRule="auto"/>
        <w:ind w:left="720" w:hanging="360"/>
      </w:pPr>
      <w:r>
        <w:t>Teilweise überzogene Gesundheits- und Anti-Aging-Sprache.</w:t>
      </w:r>
    </w:p>
    <w:p>
      <w:pPr>
        <w:pStyle w:val="ListBullet"/>
        <w:widowControl/>
        <w:spacing w:after="80" w:line="264" w:lineRule="auto"/>
        <w:ind w:left="720" w:hanging="360"/>
      </w:pPr>
      <w:r>
        <w:t>Die akademische Biografie kann beim Publikum den Eindruck erzeugen, alle späteren Aussagen seien universitäre Forschungsergebnisse; diese Gleichsetzung wäre falsch.</w:t>
      </w:r>
    </w:p>
    <w:tbl>
      <w:tblPr>
        <w:tblW w:type="dxa" w:w="9360"/>
        <w:jc w:val="left"/>
        <w:tblLayout w:type="fixed"/>
        <w:tblLook w:firstColumn="1" w:firstRow="1" w:lastColumn="0" w:lastRow="0" w:noHBand="0" w:noVBand="1" w:val="04A0"/>
      </w:tblPr>
      <w:tblGrid>
        <w:gridCol w:w="9360"/>
      </w:tblGrid>
      <w:tr>
        <w:tc>
          <w:tcPr>
            <w:tcW w:type="dxa" w:w="9360"/>
            <w:tcMar>
              <w:top w:w="90" w:type="dxa"/>
              <w:start w:w="120" w:type="dxa"/>
              <w:bottom w:w="90" w:type="dxa"/>
              <w:end w:w="120" w:type="dxa"/>
            </w:tcMar>
            <w:vAlign w:val="center"/>
            <w:shd w:fill="F3F6F8"/>
          </w:tcPr>
          <w:p>
            <w:pPr>
              <w:pStyle w:val="Callout"/>
            </w:pPr>
            <w:r>
              <w:rPr>
                <w:b/>
              </w:rPr>
              <w:t xml:space="preserve">Leseregel: </w:t>
            </w:r>
            <w:r>
              <w:rPr>
                <w:b w:val="0"/>
              </w:rPr>
              <w:t>Bei Warnke sollte man jede Aussage einer von vier Kategorien zuordnen: etablierter Befund, plausible Hypothese, spekulative Deutung oder praktische Empfehlung. Erst danach lässt sich der Nutzen zuverlässig beurteilen.</w:t>
            </w:r>
          </w:p>
        </w:tc>
      </w:tr>
    </w:tbl>
    <w:p>
      <w:pPr>
        <w:widowControl/>
        <w:spacing w:after="20"/>
      </w:pPr>
    </w:p>
    <w:p>
      <w:pPr>
        <w:pStyle w:val="Heading1"/>
        <w:widowControl/>
      </w:pPr>
      <w:r>
        <w:t>9. Bedeutung für das Projekt „Hallo Mann, Hallo 50“</w:t>
      </w:r>
    </w:p>
    <w:p>
      <w:pPr>
        <w:widowControl/>
      </w:pPr>
      <w:r>
        <w:t>Für ein Gesundheitsangebot an Männer ab 50 kann Warnkes Werk Ideen liefern, sollte aber nicht als alleinige medizinische Grundlage dienen.</w:t>
      </w:r>
    </w:p>
    <w:tbl>
      <w:tblPr>
        <w:tblStyle w:val="TableGrid"/>
        <w:tblW w:type="dxa" w:w="9360"/>
        <w:jc w:val="left"/>
        <w:tblLayout w:type="fixed"/>
        <w:tblLook w:firstColumn="1" w:firstRow="1" w:lastColumn="0" w:lastRow="0" w:noHBand="0" w:noVBand="1" w:val="04A0"/>
      </w:tblPr>
      <w:tblGrid>
        <w:gridCol w:w="3120"/>
        <w:gridCol w:w="3120"/>
        <w:gridCol w:w="3120"/>
      </w:tblGrid>
      <w:tr>
        <w:tc>
          <w:tcPr>
            <w:tcW w:type="dxa" w:w="3120"/>
            <w:tcMar>
              <w:top w:w="90" w:type="dxa"/>
              <w:start w:w="120" w:type="dxa"/>
              <w:bottom w:w="90" w:type="dxa"/>
              <w:end w:w="120" w:type="dxa"/>
            </w:tcMar>
            <w:vAlign w:val="center"/>
            <w:shd w:fill="E8EEF5"/>
          </w:tcPr>
          <w:p>
            <w:r>
              <w:rPr>
                <w:b/>
                <w:color w:val="1F3748"/>
                <w:sz w:val="19"/>
              </w:rPr>
              <w:t>Gut nutzbar</w:t>
            </w:r>
          </w:p>
        </w:tc>
        <w:tc>
          <w:tcPr>
            <w:tcW w:type="dxa" w:w="3120"/>
            <w:tcMar>
              <w:top w:w="90" w:type="dxa"/>
              <w:start w:w="120" w:type="dxa"/>
              <w:bottom w:w="90" w:type="dxa"/>
              <w:end w:w="120" w:type="dxa"/>
            </w:tcMar>
            <w:vAlign w:val="center"/>
            <w:shd w:fill="E8EEF5"/>
          </w:tcPr>
          <w:p>
            <w:r>
              <w:rPr>
                <w:b/>
                <w:color w:val="1F3748"/>
                <w:sz w:val="19"/>
              </w:rPr>
              <w:t>Nur mit Einschränkung</w:t>
            </w:r>
          </w:p>
        </w:tc>
        <w:tc>
          <w:tcPr>
            <w:tcW w:type="dxa" w:w="3120"/>
            <w:tcMar>
              <w:top w:w="90" w:type="dxa"/>
              <w:start w:w="120" w:type="dxa"/>
              <w:bottom w:w="90" w:type="dxa"/>
              <w:end w:w="120" w:type="dxa"/>
            </w:tcMar>
            <w:vAlign w:val="center"/>
            <w:shd w:fill="E8EEF5"/>
          </w:tcPr>
          <w:p>
            <w:r>
              <w:rPr>
                <w:b/>
                <w:color w:val="1F3748"/>
                <w:sz w:val="19"/>
              </w:rPr>
              <w:t>Nicht als Tatsachenbehauptung</w:t>
            </w:r>
          </w:p>
        </w:tc>
      </w:tr>
      <w:tr>
        <w:tc>
          <w:tcPr>
            <w:tcW w:type="dxa" w:w="3120"/>
            <w:tcMar>
              <w:top w:w="90" w:type="dxa"/>
              <w:start w:w="120" w:type="dxa"/>
              <w:bottom w:w="90" w:type="dxa"/>
              <w:end w:w="120" w:type="dxa"/>
            </w:tcMar>
            <w:vAlign w:val="center"/>
          </w:tcPr>
          <w:p>
            <w:pPr>
              <w:spacing w:after="40" w:line="252" w:lineRule="auto"/>
            </w:pPr>
            <w:r>
              <w:rPr>
                <w:sz w:val="18"/>
              </w:rPr>
              <w:t>Regeneration statt Defizitdenken; Bewegung, Schlaf, Stressmanagement, Ernährung; Natur als Inspirationsquelle.</w:t>
            </w:r>
          </w:p>
        </w:tc>
        <w:tc>
          <w:tcPr>
            <w:tcW w:type="dxa" w:w="3120"/>
            <w:tcMar>
              <w:top w:w="90" w:type="dxa"/>
              <w:start w:w="120" w:type="dxa"/>
              <w:bottom w:w="90" w:type="dxa"/>
              <w:end w:w="120" w:type="dxa"/>
            </w:tcMar>
            <w:vAlign w:val="center"/>
          </w:tcPr>
          <w:p>
            <w:pPr>
              <w:spacing w:after="40" w:line="252" w:lineRule="auto"/>
            </w:pPr>
            <w:r>
              <w:rPr>
                <w:sz w:val="18"/>
              </w:rPr>
              <w:t>Epigenetik und Telomere: korrekt erklären, keine Garantie auf „Verjüngung“; Biomarker nicht mit Lebensdauer gleichsetzen.</w:t>
            </w:r>
          </w:p>
        </w:tc>
        <w:tc>
          <w:tcPr>
            <w:tcW w:type="dxa" w:w="3120"/>
            <w:tcMar>
              <w:top w:w="90" w:type="dxa"/>
              <w:start w:w="120" w:type="dxa"/>
              <w:bottom w:w="90" w:type="dxa"/>
              <w:end w:w="120" w:type="dxa"/>
            </w:tcMar>
            <w:vAlign w:val="center"/>
          </w:tcPr>
          <w:p>
            <w:pPr>
              <w:spacing w:after="40" w:line="252" w:lineRule="auto"/>
            </w:pPr>
            <w:r>
              <w:rPr>
                <w:sz w:val="18"/>
              </w:rPr>
              <w:t>Altern stoppen; Krankheiten allein durch Bewusstsein heilen; pauschale Quanten- oder Frequenzmedizin; nicht belegte Produktversprechen.</w:t>
            </w:r>
          </w:p>
        </w:tc>
      </w:tr>
    </w:tbl>
    <w:p>
      <w:pPr>
        <w:widowControl/>
        <w:spacing w:after="20"/>
      </w:pPr>
    </w:p>
    <w:p>
      <w:pPr>
        <w:widowControl/>
      </w:pPr>
      <w:r>
        <w:t>Empfohlene redaktionelle Formulierung: „Lebensstil kann zahlreiche Prozesse beeinflussen, die mit gesundem Altern zusammenhängen. Das Ziel ist nicht ewige Jugend, sondern mehr gesunde, leistungsfähige und selbstbestimmte Jahre.“</w:t>
      </w:r>
    </w:p>
    <w:p>
      <w:pPr>
        <w:pStyle w:val="Heading1"/>
        <w:widowControl/>
      </w:pPr>
      <w:r>
        <w:t>10. Schlussbewertung</w:t>
      </w:r>
    </w:p>
    <w:p>
      <w:pPr>
        <w:widowControl/>
      </w:pPr>
      <w:r>
        <w:t>Ulrich Warnke ist am besten als Grenzgänger zu verstehen: Seine frühe wissenschaftliche Arbeit gehört in die Biologie und Bioelektromagnetik; seine akademische Laufbahn und Promotion sind dokumentiert. Sein späteres Werk ist dagegen ein hybrides Genre aus populärer Naturwissenschaft, Gesundheitsratgeber, Philosophie und Spiritualität.</w:t>
      </w:r>
    </w:p>
    <w:p>
      <w:pPr>
        <w:widowControl/>
      </w:pPr>
      <w:r>
        <w:t>„Bionische Regeneration“ enthält einen produktiven Kern: Altern ist vielschichtig, Umwelt und Verhalten beeinflussen biologische Regulation, und die Natur liefert wertvolle Forschungsmodelle. Der Anspruch, Altern „aufzuhalten“, sowie vereinfachte Aussagen über Gene, Quanten oder Regeneration gehen jedoch über den gesicherten Stand hinaus. Das Buch eignet sich daher als Ideen- und Denkanstoß, nicht als medizinische Leitlinie und nicht als Beleg für konkrete Heil- oder Verjüngungsversprechen.</w:t>
      </w:r>
    </w:p>
    <w:p>
      <w:pPr>
        <w:pStyle w:val="Heading1"/>
        <w:widowControl/>
      </w:pPr>
      <w:r>
        <w:t>Quellen und weiterführende Literatur</w:t>
      </w:r>
    </w:p>
    <w:p>
      <w:pPr>
        <w:pStyle w:val="SourceNote"/>
        <w:widowControl/>
      </w:pPr>
      <w:r>
        <w:t>Abrufstand der Onlinequellen: 3. August 2026. Bibliografische Angaben wurden möglichst mit Katalog- oder Verlagsdaten abgeglichen.</w:t>
      </w:r>
    </w:p>
    <w:p>
      <w:pPr>
        <w:pStyle w:val="SourceNote"/>
        <w:widowControl/>
        <w:ind w:left="259" w:hanging="259"/>
      </w:pPr>
      <w:r>
        <w:rPr>
          <w:b/>
        </w:rPr>
        <w:t xml:space="preserve">[1] Deutsche Nationalbibliothek: Bionische Regeneration, Datensatz IDN 1119734509. </w:t>
      </w:r>
      <w:hyperlink r:id="rId11">
        <w:r>
          <w:rPr>
            <w:color w:val="2E74B5"/>
            <w:u w:val="single"/>
          </w:rPr>
          <w:t>https://d-nb.info/1119734509</w:t>
        </w:r>
      </w:hyperlink>
      <w:r>
        <w:t xml:space="preserve"> Bibliografischer Primärnachweis.</w:t>
      </w:r>
    </w:p>
    <w:p>
      <w:pPr>
        <w:pStyle w:val="SourceNote"/>
        <w:widowControl/>
        <w:ind w:left="259" w:hanging="259"/>
      </w:pPr>
      <w:r>
        <w:rPr>
          <w:b/>
        </w:rPr>
        <w:t xml:space="preserve">[2] Scorpio Verlag: Autorenprofil Ulrich Warnke. </w:t>
      </w:r>
      <w:hyperlink r:id="rId12">
        <w:r>
          <w:rPr>
            <w:color w:val="2E74B5"/>
            <w:u w:val="single"/>
          </w:rPr>
          <w:t>https://scorpio-verlag.de/Autor/34/UlrichWarnke.html</w:t>
        </w:r>
      </w:hyperlink>
      <w:r>
        <w:t xml:space="preserve"> Biografische Verlagsangaben.</w:t>
      </w:r>
    </w:p>
    <w:p>
      <w:pPr>
        <w:pStyle w:val="SourceNote"/>
        <w:widowControl/>
        <w:ind w:left="259" w:hanging="259"/>
      </w:pPr>
      <w:r>
        <w:rPr>
          <w:b/>
        </w:rPr>
        <w:t xml:space="preserve">[3] ResearchGate: Publikationsprofil Ulrich Warnke. </w:t>
      </w:r>
      <w:hyperlink r:id="rId13">
        <w:r>
          <w:rPr>
            <w:color w:val="2E74B5"/>
            <w:u w:val="single"/>
          </w:rPr>
          <w:t>https://www.researchgate.net/profile/Ulrich-Dr-Warnke-2</w:t>
        </w:r>
      </w:hyperlink>
      <w:r>
        <w:t xml:space="preserve"> Übersicht nachgewiesener Fachpublikationen; Datenbankprofil.</w:t>
      </w:r>
    </w:p>
    <w:p>
      <w:pPr>
        <w:pStyle w:val="SourceNote"/>
        <w:widowControl/>
        <w:ind w:left="259" w:hanging="259"/>
      </w:pPr>
      <w:r>
        <w:rPr>
          <w:b/>
        </w:rPr>
        <w:t xml:space="preserve">[4] López-Otín et al. (2023): Hallmarks of Aging: An Expanding Universe, Cell. </w:t>
      </w:r>
      <w:hyperlink r:id="rId14">
        <w:r>
          <w:rPr>
            <w:color w:val="2E74B5"/>
            <w:u w:val="single"/>
          </w:rPr>
          <w:t>https://www.cell.com/cell/fulltext/S0092-8674%2822%2901377-0</w:t>
        </w:r>
      </w:hyperlink>
      <w:r>
        <w:t xml:space="preserve"> Aktueller Referenzrahmen der Alternsforschung.</w:t>
      </w:r>
    </w:p>
    <w:p>
      <w:pPr>
        <w:pStyle w:val="SourceNote"/>
        <w:widowControl/>
        <w:ind w:left="259" w:hanging="259"/>
      </w:pPr>
      <w:r>
        <w:rPr>
          <w:b/>
        </w:rPr>
        <w:t xml:space="preserve">[5] National Institute on Aging: What Do We Know About Healthy Aging?. </w:t>
      </w:r>
      <w:hyperlink r:id="rId15">
        <w:r>
          <w:rPr>
            <w:color w:val="2E74B5"/>
            <w:u w:val="single"/>
          </w:rPr>
          <w:t>https://www.nia.nih.gov/health/healthy-aging/what-do-we-know-about-healthy-aging</w:t>
        </w:r>
      </w:hyperlink>
      <w:r>
        <w:t xml:space="preserve"> Evidenzbasierte Übersicht zu Lebensstil und gesundem Altern.</w:t>
      </w:r>
    </w:p>
    <w:p>
      <w:pPr>
        <w:pStyle w:val="SourceNote"/>
        <w:widowControl/>
        <w:ind w:left="259" w:hanging="259"/>
      </w:pPr>
      <w:r>
        <w:rPr>
          <w:b/>
        </w:rPr>
        <w:t xml:space="preserve">[6] World Health Organization: Physical activity. </w:t>
      </w:r>
      <w:hyperlink r:id="rId16">
        <w:r>
          <w:rPr>
            <w:color w:val="2E74B5"/>
            <w:u w:val="single"/>
          </w:rPr>
          <w:t>https://www.who.int/news-room/fact-sheets/detail/physical-activity</w:t>
        </w:r>
      </w:hyperlink>
      <w:r>
        <w:t xml:space="preserve"> Nutzen und Empfehlungen zu Bewegung.</w:t>
      </w:r>
    </w:p>
    <w:p>
      <w:pPr>
        <w:pStyle w:val="SourceNote"/>
        <w:widowControl/>
        <w:ind w:left="259" w:hanging="259"/>
      </w:pPr>
      <w:r>
        <w:rPr>
          <w:b/>
        </w:rPr>
        <w:t xml:space="preserve">[7] WHO Europe (2023): Promoting physical activity and healthy diets for healthy ageing. </w:t>
      </w:r>
      <w:hyperlink r:id="rId17">
        <w:r>
          <w:rPr>
            <w:color w:val="2E74B5"/>
            <w:u w:val="single"/>
          </w:rPr>
          <w:t>https://www.who.int/europe/publications/i/item/WHO-EURO-2023-8002-47770-70520</w:t>
        </w:r>
      </w:hyperlink>
      <w:r>
        <w:t xml:space="preserve"> Gesundes Altern und Funktionsfähigkeit.</w:t>
      </w:r>
    </w:p>
    <w:p>
      <w:pPr>
        <w:pStyle w:val="SourceNote"/>
        <w:widowControl/>
        <w:ind w:left="259" w:hanging="259"/>
      </w:pPr>
      <w:r>
        <w:rPr>
          <w:b/>
        </w:rPr>
        <w:t xml:space="preserve">[8] Wikipedia: Ulrich Warnke. </w:t>
      </w:r>
      <w:hyperlink r:id="rId18">
        <w:r>
          <w:rPr>
            <w:color w:val="2E74B5"/>
            <w:u w:val="single"/>
          </w:rPr>
          <w:t>https://de.wikipedia.org/wiki/Ulrich_Warnke</w:t>
        </w:r>
      </w:hyperlink>
      <w:r>
        <w:t xml:space="preserve"> Sekundärquelle mit weiterführenden Einzelnachweisen; kritisch verwendet.</w:t>
      </w:r>
    </w:p>
    <w:p>
      <w:pPr>
        <w:pStyle w:val="SourceNote"/>
        <w:widowControl/>
        <w:ind w:left="259" w:hanging="259"/>
      </w:pPr>
      <w:r>
        <w:rPr>
          <w:b/>
        </w:rPr>
        <w:t xml:space="preserve">[9] Holm G. Hümmler (2019): Relativer Quantenquark, Springer. </w:t>
      </w:r>
      <w:hyperlink r:id="rId19">
        <w:r>
          <w:rPr>
            <w:color w:val="2E74B5"/>
            <w:u w:val="single"/>
          </w:rPr>
          <w:t>https://link.springer.com/book/10.1007/978-3-662-58420-0</w:t>
        </w:r>
      </w:hyperlink>
      <w:r>
        <w:t xml:space="preserve"> Kritische fachliche Einordnung populärer Quantenbehauptungen.</w:t>
      </w:r>
    </w:p>
    <w:p>
      <w:pPr>
        <w:pStyle w:val="SourceNote"/>
        <w:widowControl/>
        <w:ind w:left="259" w:hanging="259"/>
      </w:pPr>
      <w:r>
        <w:rPr>
          <w:b/>
        </w:rPr>
        <w:t xml:space="preserve">[10] National Institute on Aging: Cognitive Health and Older Adults. </w:t>
      </w:r>
      <w:hyperlink r:id="rId20">
        <w:r>
          <w:rPr>
            <w:color w:val="2E74B5"/>
            <w:u w:val="single"/>
          </w:rPr>
          <w:t>https://www.nia.nih.gov/health/brain-health/cognitive-health-and-older-adults</w:t>
        </w:r>
      </w:hyperlink>
      <w:r>
        <w:t xml:space="preserve"> Schlaf, Ernährung, Aktivität und kognitive Gesundheit.</w:t>
      </w:r>
    </w:p>
    <w:p>
      <w:pPr>
        <w:pStyle w:val="SourceNote"/>
        <w:widowControl/>
        <w:ind w:left="259" w:hanging="259"/>
      </w:pPr>
      <w:r>
        <w:rPr>
          <w:b/>
        </w:rPr>
        <w:t xml:space="preserve">[11] PubMed: Sociodemographic and Lifestyle Factors and Epigenetic Aging (2024). </w:t>
      </w:r>
      <w:hyperlink r:id="rId21">
        <w:r>
          <w:rPr>
            <w:color w:val="2E74B5"/>
            <w:u w:val="single"/>
          </w:rPr>
          <w:t>https://pubmed.ncbi.nlm.nih.gov/39073811/</w:t>
        </w:r>
      </w:hyperlink>
      <w:r>
        <w:t xml:space="preserve"> Einordnung epigenetischer Uhren und Lebensstilassoziationen.</w:t>
      </w:r>
    </w:p>
    <w:p>
      <w:pPr>
        <w:pStyle w:val="SourceNote"/>
        <w:widowControl/>
        <w:ind w:left="259" w:hanging="259"/>
      </w:pPr>
      <w:r>
        <w:rPr>
          <w:b/>
        </w:rPr>
        <w:t xml:space="preserve">[12] Deutsche Nationalbibliothek: Quantenphilosophie und Spiritualität, IDN 1008932345. </w:t>
      </w:r>
      <w:hyperlink r:id="rId22">
        <w:r>
          <w:rPr>
            <w:color w:val="2E74B5"/>
            <w:u w:val="single"/>
          </w:rPr>
          <w:t>https://d-nb.info/1008932345</w:t>
        </w:r>
      </w:hyperlink>
      <w:r>
        <w:t xml:space="preserve"> Bibliografischer Nachweis.</w:t>
      </w:r>
    </w:p>
    <w:p>
      <w:pPr>
        <w:pStyle w:val="Heading2"/>
        <w:widowControl/>
      </w:pPr>
      <w:r>
        <w:t>Transparenz zur Bewertung</w:t>
      </w:r>
    </w:p>
    <w:p>
      <w:pPr>
        <w:widowControl/>
      </w:pPr>
      <w:r>
        <w:t>Dieses Porträt bewertet nicht Warnkes Person, sondern die Nachweisstärke unterschiedlicher Aussagen. Verlagsbeschreibungen belegen, was ein Buch behauptet; sie belegen nicht, dass die Behauptung wissenschaftlich richtig ist. Umgekehrt widerlegt Kritik nicht automatisch jede Einzelthese. Maßgeblich sind reproduzierbare Daten, geeignete Studienmodelle, unabhängige Bestätigung und – bei Gesundheitsmaßnahmen – klinischer Nutzen und Sicherheit.</w:t>
      </w:r>
    </w:p>
    <w:sectPr w:rsidR="00FC693F" w:rsidRPr="0006063C" w:rsidSect="00034616">
      <w:headerReference w:type="default" r:id="rId9"/>
      <w:footerReference w:type="default" r:id="rId10"/>
      <w:pgSz w:w="12240" w:h="15840"/>
      <w:pgMar w:top="1123"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Sachstand 3. August 2026  •  Redaktionelle Einordnung, keine medizinische Beratung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95959"/>
        <w:sz w:val="17"/>
      </w:rPr>
      <w:t>FORSCHUNGS- UND WERKPORTRÄT  |  ULRICH WARNKE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19191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Subtitle">
    <w:name w:val="Report Subtitle"/>
    <w:rPr>
      <w:rFonts w:ascii="Calibri" w:hAnsi="Calibri"/>
      <w:color w:val="595959"/>
      <w:sz w:val="30"/>
    </w:rPr>
  </w:style>
  <w:style w:type="paragraph" w:customStyle="1" w:styleId="Kicker">
    <w:name w:val="Kicker"/>
    <w:rPr>
      <w:rFonts w:ascii="Calibri" w:hAnsi="Calibri"/>
      <w:b/>
      <w:color w:val="1F4E79"/>
      <w:sz w:val="20"/>
    </w:rPr>
  </w:style>
  <w:style w:type="paragraph" w:customStyle="1" w:styleId="SourceNote">
    <w:name w:val="Source Note"/>
    <w:pPr>
      <w:spacing w:after="80"/>
    </w:pPr>
    <w:rPr>
      <w:rFonts w:ascii="Calibri" w:hAnsi="Calibri"/>
      <w:color w:val="595959"/>
      <w:sz w:val="18"/>
    </w:rPr>
  </w:style>
  <w:style w:type="paragraph" w:customStyle="1" w:styleId="Callout">
    <w:name w:val="Callout"/>
    <w:rPr>
      <w:rFonts w:ascii="Calibri" w:hAnsi="Calibri"/>
      <w:b/>
      <w:color w:val="1F3748"/>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nb.info/1119734509" TargetMode="External"/><Relationship Id="rId12" Type="http://schemas.openxmlformats.org/officeDocument/2006/relationships/hyperlink" Target="https://scorpio-verlag.de/Autor/34/UlrichWarnke.html" TargetMode="External"/><Relationship Id="rId13" Type="http://schemas.openxmlformats.org/officeDocument/2006/relationships/hyperlink" Target="https://www.researchgate.net/profile/Ulrich-Dr-Warnke-2" TargetMode="External"/><Relationship Id="rId14" Type="http://schemas.openxmlformats.org/officeDocument/2006/relationships/hyperlink" Target="https://www.cell.com/cell/fulltext/S0092-8674%2822%2901377-0" TargetMode="External"/><Relationship Id="rId15" Type="http://schemas.openxmlformats.org/officeDocument/2006/relationships/hyperlink" Target="https://www.nia.nih.gov/health/healthy-aging/what-do-we-know-about-healthy-aging" TargetMode="External"/><Relationship Id="rId16" Type="http://schemas.openxmlformats.org/officeDocument/2006/relationships/hyperlink" Target="https://www.who.int/news-room/fact-sheets/detail/physical-activity" TargetMode="External"/><Relationship Id="rId17" Type="http://schemas.openxmlformats.org/officeDocument/2006/relationships/hyperlink" Target="https://www.who.int/europe/publications/i/item/WHO-EURO-2023-8002-47770-70520" TargetMode="External"/><Relationship Id="rId18" Type="http://schemas.openxmlformats.org/officeDocument/2006/relationships/hyperlink" Target="https://de.wikipedia.org/wiki/Ulrich_Warnke" TargetMode="External"/><Relationship Id="rId19" Type="http://schemas.openxmlformats.org/officeDocument/2006/relationships/hyperlink" Target="https://link.springer.com/book/10.1007/978-3-662-58420-0" TargetMode="External"/><Relationship Id="rId20" Type="http://schemas.openxmlformats.org/officeDocument/2006/relationships/hyperlink" Target="https://www.nia.nih.gov/health/brain-health/cognitive-health-and-older-adults" TargetMode="External"/><Relationship Id="rId21" Type="http://schemas.openxmlformats.org/officeDocument/2006/relationships/hyperlink" Target="https://pubmed.ncbi.nlm.nih.gov/39073811/" TargetMode="External"/><Relationship Id="rId22" Type="http://schemas.openxmlformats.org/officeDocument/2006/relationships/hyperlink" Target="https://d-nb.info/1008932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Ulrich Warnke – Forschung und Werk</dc:title>
  <dc:subject>Sachlich-kritisches Forschungs- und Werkporträt</dc:subject>
  <dc:creator>OpenAI – erstellt im Auftrag des Nutzers</dc:creator>
  <cp:keywords>Ulrich Warnke, Bionik, Biophysik, Bionische Regeneration, Altern</cp:keywords>
  <dc:description>generated by python-docx</dc:description>
  <cp:lastModifiedBy/>
  <cp:revision>1</cp:revision>
  <dcterms:created xsi:type="dcterms:W3CDTF">2013-12-23T23:15:00Z</dcterms:created>
  <dcterms:modified xsi:type="dcterms:W3CDTF">2013-12-23T23:15:00Z</dcterms:modified>
  <cp:category/>
</cp:coreProperties>
</file>