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864"/>
      </w:tblGrid>
      <w:tr>
        <w:trPr>
          <w:cantSplit/>
        </w:trPr>
        <w:tc>
          <w:tcPr>
            <w:tcW w:type="dxa" w:w="9878"/>
            <w:shd w:fill="17324D"/>
            <w:tcMar>
              <w:top w:w="720" w:type="dxa"/>
              <w:start w:w="480" w:type="dxa"/>
              <w:bottom w:w="650" w:type="dxa"/>
              <w:end w:w="480" w:type="dxa"/>
            </w:tcMar>
            <w:tcBorders>
              <w:top w:val="nil"/>
              <w:left w:val="nil"/>
              <w:bottom w:val="nil"/>
              <w:right w:val="nil"/>
            </w:tcBorders>
          </w:tcPr>
          <w:p>
            <w:pPr>
              <w:spacing w:after="160"/>
              <w:jc w:val="left"/>
            </w:pPr>
            <w:r>
              <w:rPr>
                <w:rFonts w:ascii="Aptos" w:hAnsi="Aptos" w:eastAsia="Aptos"/>
                <w:b/>
                <w:color w:val="C79A3B"/>
                <w:sz w:val="30"/>
              </w:rPr>
              <w:t>PROF. DR. INGO FROBÖSE</w:t>
            </w:r>
          </w:p>
          <w:p>
            <w:pPr>
              <w:spacing w:after="200"/>
            </w:pPr>
            <w:r>
              <w:rPr>
                <w:rFonts w:ascii="Aptos Display" w:hAnsi="Aptos Display" w:eastAsia="Aptos Display"/>
                <w:b/>
                <w:color w:val="FFFFFF"/>
                <w:sz w:val="60"/>
              </w:rPr>
              <w:t>Forschung und Werk</w:t>
            </w:r>
          </w:p>
          <w:p>
            <w:pPr>
              <w:spacing w:after="360"/>
            </w:pPr>
            <w:r>
              <w:rPr>
                <w:rFonts w:ascii="Aptos" w:hAnsi="Aptos" w:eastAsia="Aptos"/>
                <w:color w:val="D9E6EF"/>
                <w:sz w:val="26"/>
              </w:rPr>
              <w:t>Akademisches Profil, Forschungsschwerpunkte, publizistisches Werk und wissenschaftliche Einordnung von „Der Stoffwechsel-Kompass“</w:t>
            </w:r>
          </w:p>
          <w:p>
            <w:pPr>
              <w:spacing w:before="80" w:after="320"/>
            </w:pPr>
            <w:r>
              <w:rPr>
                <w:rFonts w:ascii="Aptos" w:hAnsi="Aptos" w:eastAsia="Aptos"/>
                <w:color w:val="C79A3B"/>
                <w:sz w:val="24"/>
              </w:rPr>
              <w:t>━━━━━━━━━━━━━━━━━━━━━━━━━━━━</w:t>
            </w:r>
          </w:p>
          <w:p>
            <w:pPr>
              <w:spacing w:after="60"/>
            </w:pPr>
            <w:r>
              <w:rPr>
                <w:rFonts w:ascii="Aptos" w:hAnsi="Aptos" w:eastAsia="Aptos"/>
                <w:b/>
                <w:color w:val="FFFFFF"/>
                <w:sz w:val="21"/>
              </w:rPr>
              <w:t>Professionelle Recherche und Analyse</w:t>
            </w:r>
          </w:p>
          <w:p>
            <w:r>
              <w:rPr>
                <w:rFonts w:ascii="Aptos" w:hAnsi="Aptos" w:eastAsia="Aptos"/>
                <w:color w:val="D9E6EF"/>
                <w:sz w:val="20"/>
              </w:rPr>
              <w:t>Biografie  •  Wissenschaft  •  Bücher  •  Stoffwechsel  •  Prävention</w:t>
            </w:r>
          </w:p>
        </w:tc>
      </w:tr>
    </w:tbl>
    <w:p>
      <w:pPr>
        <w:spacing w:before="480" w:after="60"/>
      </w:pPr>
      <w:r>
        <w:rPr>
          <w:rFonts w:ascii="Aptos" w:hAnsi="Aptos" w:eastAsia="Aptos"/>
          <w:b/>
          <w:color w:val="1F6F78"/>
          <w:sz w:val="18"/>
        </w:rPr>
        <w:t>ERSTELLT FÜR</w:t>
      </w:r>
    </w:p>
    <w:p>
      <w:pPr>
        <w:spacing w:after="360"/>
      </w:pPr>
      <w:r>
        <w:rPr>
          <w:rFonts w:ascii="Aptos" w:hAnsi="Aptos" w:eastAsia="Aptos"/>
          <w:b/>
          <w:color w:val="17324D"/>
          <w:sz w:val="28"/>
        </w:rPr>
        <w:t>Uwe Sänger</w:t>
      </w:r>
    </w:p>
    <w:p>
      <w:pPr>
        <w:spacing w:after="60"/>
      </w:pPr>
      <w:r>
        <w:rPr>
          <w:rFonts w:ascii="Aptos" w:hAnsi="Aptos" w:eastAsia="Aptos"/>
          <w:b/>
          <w:color w:val="1F6F78"/>
          <w:sz w:val="18"/>
        </w:rPr>
        <w:t>STAND DER RECHERCHE</w:t>
      </w:r>
    </w:p>
    <w:p>
      <w:r>
        <w:rPr>
          <w:rFonts w:ascii="Aptos" w:hAnsi="Aptos" w:eastAsia="Aptos"/>
          <w:color w:val="24313A"/>
          <w:sz w:val="22"/>
        </w:rPr>
        <w:t>3. August 2026</w:t>
      </w:r>
    </w:p>
    <w:p>
      <w:pPr>
        <w:spacing w:before="400" w:after="0"/>
      </w:pPr>
      <w:r>
        <w:rPr>
          <w:rFonts w:ascii="Aptos" w:hAnsi="Aptos" w:eastAsia="Aptos"/>
          <w:i/>
          <w:color w:val="52606D"/>
          <w:sz w:val="17"/>
        </w:rPr>
        <w:t>Hinweis: Dieses Dokument ist eine wissenschaftlich orientierte Sachanalyse. Es ersetzt keine individuelle medizinische Diagnose oder Behandlung.</w:t>
      </w:r>
    </w:p>
    <w:p>
      <w:r>
        <w:br w:type="page"/>
      </w:r>
    </w:p>
    <w:p>
      <w:pPr>
        <w:pStyle w:val="Heading1"/>
        <w:keepNext/>
        <w:spacing w:before="200" w:after="80"/>
      </w:pPr>
      <w:r>
        <w:rPr>
          <w:rFonts w:ascii="Aptos" w:hAnsi="Aptos" w:eastAsia="Aptos"/>
          <w:b/>
          <w:color w:val="17324D"/>
          <w:sz w:val="34"/>
        </w:rPr>
        <w:t>Management Summary</w:t>
      </w:r>
    </w:p>
    <w:tbl>
      <w:tblPr>
        <w:tblW w:type="auto" w:w="0"/>
        <w:jc w:val="center"/>
        <w:tblLayout w:type="fixed"/>
        <w:tblLook w:firstColumn="1" w:firstRow="1" w:lastColumn="0" w:lastRow="0" w:noHBand="0" w:noVBand="1" w:val="04A0"/>
      </w:tblPr>
      <w:tblGrid>
        <w:gridCol w:w="173"/>
        <w:gridCol w:w="9677"/>
      </w:tblGrid>
      <w:tr>
        <w:trPr>
          <w:cantSplit/>
        </w:trPr>
        <w:tc>
          <w:tcPr>
            <w:tcW w:type="dxa" w:w="4939"/>
            <w:shd w:fill="1F6F78"/>
            <w:tcMar>
              <w:top w:w="120" w:type="dxa"/>
              <w:start w:w="120" w:type="dxa"/>
              <w:bottom w:w="120" w:type="dxa"/>
              <w:end w:w="120" w:type="dxa"/>
            </w:tcMar>
            <w:tcBorders>
              <w:top w:val="single" w:sz="4" w:color="E8F2F3"/>
              <w:left w:val="single" w:sz="4" w:color="E8F2F3"/>
              <w:bottom w:val="single" w:sz="4" w:color="E8F2F3"/>
              <w:right w:val="single" w:sz="4" w:color="E8F2F3"/>
            </w:tcBorders>
          </w:tcPr>
          <w:p/>
        </w:tc>
        <w:tc>
          <w:tcPr>
            <w:tcW w:type="dxa" w:w="4939"/>
            <w:shd w:fill="E8F2F3"/>
            <w:tcMar>
              <w:top w:w="120" w:type="dxa"/>
              <w:start w:w="120" w:type="dxa"/>
              <w:bottom w:w="120" w:type="dxa"/>
              <w:end w:w="120" w:type="dxa"/>
            </w:tcMar>
            <w:tcBorders>
              <w:top w:val="single" w:sz="4" w:color="E8F2F3"/>
              <w:left w:val="single" w:sz="4" w:color="E8F2F3"/>
              <w:bottom w:val="single" w:sz="4" w:color="E8F2F3"/>
              <w:right w:val="single" w:sz="4" w:color="E8F2F3"/>
            </w:tcBorders>
          </w:tcPr>
          <w:p>
            <w:pPr>
              <w:spacing w:after="40"/>
            </w:pPr>
            <w:r>
              <w:rPr>
                <w:rFonts w:ascii="Aptos" w:hAnsi="Aptos" w:eastAsia="Aptos"/>
                <w:b/>
                <w:color w:val="1F6F78"/>
                <w:sz w:val="21"/>
              </w:rPr>
              <w:t>Kernaussage</w:t>
            </w:r>
          </w:p>
          <w:p>
            <w:pPr>
              <w:spacing w:after="0" w:line="264" w:lineRule="auto"/>
            </w:pPr>
            <w:r>
              <w:rPr>
                <w:rFonts w:ascii="Aptos" w:hAnsi="Aptos" w:eastAsia="Aptos"/>
                <w:color w:val="24313A"/>
                <w:sz w:val="19"/>
              </w:rPr>
              <w:t>Ingo Froböse ist ein akademisch ausgewiesener Sportwissenschaftler mit Schwerpunkt Prävention, Rehabilitation und bewegungsbezogener Gesundheitsförderung. Seine öffentliche Bekanntheit beruht zusätzlich auf einer umfangreichen Tätigkeit als Sachbuchautor und Medienvermittler. „Der Stoffwechsel-Kompass“ ist ein breit angelegtes populärwissenschaftliches Grundlagenbuch – kein medizinisches Lehrbuch und keine klinische Leitlinie.</w:t>
            </w:r>
          </w:p>
        </w:tc>
      </w:tr>
    </w:tbl>
    <w:p>
      <w:pPr>
        <w:spacing w:after="40"/>
      </w:pPr>
    </w:p>
    <w:p>
      <w:pPr>
        <w:pStyle w:val="ListBullet"/>
        <w:spacing w:after="60" w:line="264" w:lineRule="auto"/>
        <w:ind w:left="288" w:hanging="173"/>
      </w:pPr>
      <w:r>
        <w:rPr>
          <w:rFonts w:ascii="Aptos" w:hAnsi="Aptos" w:eastAsia="Aptos"/>
          <w:color w:val="24313A"/>
          <w:sz w:val="20"/>
        </w:rPr>
        <w:t>Froböse wurde am 18. März 1957 in Unna geboren. Er studierte an der Deutschen Sporthochschule Köln, promovierte dort und habilitierte sich; seit 1995 war er Hochschulprofessor. Heute wird er als emeritierter Universitätsprofessor für Prävention und Rehabilitation im Sport geführt.</w:t>
      </w:r>
    </w:p>
    <w:p>
      <w:pPr>
        <w:pStyle w:val="ListBullet"/>
        <w:spacing w:after="60" w:line="264" w:lineRule="auto"/>
        <w:ind w:left="288" w:hanging="173"/>
      </w:pPr>
      <w:r>
        <w:rPr>
          <w:rFonts w:ascii="Aptos" w:hAnsi="Aptos" w:eastAsia="Aptos"/>
          <w:color w:val="24313A"/>
          <w:sz w:val="20"/>
        </w:rPr>
        <w:t>Sein wissenschaftliches Profil konzentriert sich stärker auf Bewegungstherapie, Trainingssteuerung, Rehabilitation, Rücken- und Muskelgesundheit, betriebliche Gesundheitsförderung, aktive Mobilität und Gesundheitsverhalten als auf molekulare Stoffwechselforschung.</w:t>
      </w:r>
    </w:p>
    <w:p>
      <w:pPr>
        <w:pStyle w:val="ListBullet"/>
        <w:spacing w:after="60" w:line="264" w:lineRule="auto"/>
        <w:ind w:left="288" w:hanging="173"/>
      </w:pPr>
      <w:r>
        <w:rPr>
          <w:rFonts w:ascii="Aptos" w:hAnsi="Aptos" w:eastAsia="Aptos"/>
          <w:color w:val="24313A"/>
          <w:sz w:val="20"/>
        </w:rPr>
        <w:t>Das Forschungsinformationssystem der Deutschen Sporthochschule Köln verzeichnet – über mehrere Jahrzehnte und verschiedene Publikationsarten hinweg – 354 Forschungs- und Lehroutputs sowie 45 Projekte. Darunter befinden sich Zeitschriftenaufsätze, Konferenzbeiträge, Monografien, Lehrwerke und Projektberichte. Diese Zahl ist nicht gleichbedeutend mit 354 peer-reviewten Originalstudien.</w:t>
      </w:r>
    </w:p>
    <w:p>
      <w:pPr>
        <w:pStyle w:val="ListBullet"/>
        <w:spacing w:after="60" w:line="264" w:lineRule="auto"/>
        <w:ind w:left="288" w:hanging="173"/>
      </w:pPr>
      <w:r>
        <w:rPr>
          <w:rFonts w:ascii="Aptos" w:hAnsi="Aptos" w:eastAsia="Aptos"/>
          <w:color w:val="24313A"/>
          <w:sz w:val="20"/>
        </w:rPr>
        <w:t>Seine Stärke als Autor liegt in der verständlichen Verbindung von Bewegung, Muskelgesundheit, Ernährung, Regeneration und Alltag. Seine Texte motivieren zu langfristigem Verhalten statt zu kurzfristigen Diäten.</w:t>
      </w:r>
    </w:p>
    <w:p>
      <w:pPr>
        <w:pStyle w:val="ListBullet"/>
        <w:spacing w:after="60" w:line="264" w:lineRule="auto"/>
        <w:ind w:left="288" w:hanging="173"/>
      </w:pPr>
      <w:r>
        <w:rPr>
          <w:rFonts w:ascii="Aptos" w:hAnsi="Aptos" w:eastAsia="Aptos"/>
          <w:color w:val="24313A"/>
          <w:sz w:val="20"/>
        </w:rPr>
        <w:t>Die wichtigsten Aussagen aus „Der Stoffwechsel-Kompass“ – regelmäßige Bewegung, Muskeltraining, ausreichende Eiweißversorgung, Schlaf, Vermeidung von Bewegungsmangel und Erhalt der Muskelkraft – sind gut wissenschaftlich anschlussfähig.</w:t>
      </w:r>
    </w:p>
    <w:p>
      <w:pPr>
        <w:pStyle w:val="ListBullet"/>
        <w:spacing w:after="60" w:line="264" w:lineRule="auto"/>
        <w:ind w:left="288" w:hanging="173"/>
      </w:pPr>
      <w:r>
        <w:rPr>
          <w:rFonts w:ascii="Aptos" w:hAnsi="Aptos" w:eastAsia="Aptos"/>
          <w:color w:val="24313A"/>
          <w:sz w:val="20"/>
        </w:rPr>
        <w:t>Einige populäre Formulierungen wie „Stoffwechsel ankurbeln“, „Turbo“ oder die starke Personalisierung komplexer Stoffwechselwege sind als didaktische Bilder zu verstehen. Der menschliche Energieverbrauch lässt sich nicht beliebig beschleunigen; auch sinkt der körpergrößen- und körperzusammensetzungsbereinigte Energieverbrauch nach großen internationalen Daten im Mittel erst ab etwa 60 Jahren kontinuierlich.</w:t>
      </w:r>
    </w:p>
    <w:p>
      <w:pPr>
        <w:pStyle w:val="Heading1"/>
        <w:keepNext/>
        <w:spacing w:before="200" w:after="80"/>
      </w:pPr>
      <w:r>
        <w:rPr>
          <w:rFonts w:ascii="Aptos" w:hAnsi="Aptos" w:eastAsia="Aptos"/>
          <w:b/>
          <w:color w:val="17324D"/>
          <w:sz w:val="34"/>
        </w:rPr>
        <w:t>Inhalt</w:t>
      </w:r>
    </w:p>
    <w:p>
      <w:pPr>
        <w:spacing w:after="60"/>
      </w:pPr>
      <w:r>
        <w:rPr>
          <w:rFonts w:ascii="Aptos" w:hAnsi="Aptos" w:eastAsia="Aptos"/>
          <w:b/>
          <w:color w:val="17324D"/>
          <w:sz w:val="20"/>
        </w:rPr>
        <w:t>1. Person und akademisches Profil</w:t>
      </w:r>
    </w:p>
    <w:p>
      <w:pPr>
        <w:spacing w:after="60"/>
      </w:pPr>
      <w:r>
        <w:rPr>
          <w:rFonts w:ascii="Aptos" w:hAnsi="Aptos" w:eastAsia="Aptos"/>
          <w:b/>
          <w:color w:val="17324D"/>
          <w:sz w:val="20"/>
        </w:rPr>
        <w:t>2. Wissenschaftlicher Werdegang und öffentliche Rollen</w:t>
      </w:r>
    </w:p>
    <w:p>
      <w:pPr>
        <w:spacing w:after="60"/>
      </w:pPr>
      <w:r>
        <w:rPr>
          <w:rFonts w:ascii="Aptos" w:hAnsi="Aptos" w:eastAsia="Aptos"/>
          <w:b/>
          <w:color w:val="17324D"/>
          <w:sz w:val="20"/>
        </w:rPr>
        <w:t>3. Forschungsschwerpunkte</w:t>
      </w:r>
    </w:p>
    <w:p>
      <w:pPr>
        <w:spacing w:after="60"/>
      </w:pPr>
      <w:r>
        <w:rPr>
          <w:rFonts w:ascii="Aptos" w:hAnsi="Aptos" w:eastAsia="Aptos"/>
          <w:b/>
          <w:color w:val="17324D"/>
          <w:sz w:val="20"/>
        </w:rPr>
        <w:t>4. Wissenschaftliches Werk und ausgewählte Projekte</w:t>
      </w:r>
    </w:p>
    <w:p>
      <w:pPr>
        <w:spacing w:after="60"/>
      </w:pPr>
      <w:r>
        <w:rPr>
          <w:rFonts w:ascii="Aptos" w:hAnsi="Aptos" w:eastAsia="Aptos"/>
          <w:b/>
          <w:color w:val="17324D"/>
          <w:sz w:val="20"/>
        </w:rPr>
        <w:t>5. Sachbuchautor und Gesundheitskommunikator</w:t>
      </w:r>
    </w:p>
    <w:p>
      <w:pPr>
        <w:spacing w:after="60"/>
      </w:pPr>
      <w:r>
        <w:rPr>
          <w:rFonts w:ascii="Aptos" w:hAnsi="Aptos" w:eastAsia="Aptos"/>
          <w:b/>
          <w:color w:val="17324D"/>
          <w:sz w:val="20"/>
        </w:rPr>
        <w:t>6. Analyse: „Der Stoffwechsel-Kompass“</w:t>
      </w:r>
    </w:p>
    <w:p>
      <w:pPr>
        <w:spacing w:after="60"/>
      </w:pPr>
      <w:r>
        <w:rPr>
          <w:rFonts w:ascii="Aptos" w:hAnsi="Aptos" w:eastAsia="Aptos"/>
          <w:b/>
          <w:color w:val="17324D"/>
          <w:sz w:val="20"/>
        </w:rPr>
        <w:t>7. Wissenschaftliche Einordnung der Kernaussagen</w:t>
      </w:r>
    </w:p>
    <w:p>
      <w:pPr>
        <w:spacing w:after="60"/>
      </w:pPr>
      <w:r>
        <w:rPr>
          <w:rFonts w:ascii="Aptos" w:hAnsi="Aptos" w:eastAsia="Aptos"/>
          <w:b/>
          <w:color w:val="17324D"/>
          <w:sz w:val="20"/>
        </w:rPr>
        <w:t>8. Gesamtbewertung</w:t>
      </w:r>
    </w:p>
    <w:p>
      <w:pPr>
        <w:spacing w:after="60"/>
      </w:pPr>
      <w:r>
        <w:rPr>
          <w:rFonts w:ascii="Aptos" w:hAnsi="Aptos" w:eastAsia="Aptos"/>
          <w:b/>
          <w:color w:val="17324D"/>
          <w:sz w:val="20"/>
        </w:rPr>
        <w:t>9. Quellen und Literatur</w:t>
      </w:r>
    </w:p>
    <w:p>
      <w:pPr>
        <w:pStyle w:val="Heading1"/>
        <w:keepNext/>
        <w:spacing w:before="200" w:after="80"/>
      </w:pPr>
      <w:r>
        <w:rPr>
          <w:rFonts w:ascii="Aptos" w:hAnsi="Aptos" w:eastAsia="Aptos"/>
          <w:b/>
          <w:color w:val="17324D"/>
          <w:sz w:val="34"/>
        </w:rPr>
        <w:t>1  Person und akademisches Profil</w:t>
      </w:r>
    </w:p>
    <w:tbl>
      <w:tblPr>
        <w:tblW w:type="auto" w:w="0"/>
        <w:jc w:val="center"/>
        <w:tblLayout w:type="fixed"/>
        <w:tblLook w:firstColumn="1" w:firstRow="1" w:lastColumn="0" w:lastRow="0" w:noHBand="0" w:noVBand="1" w:val="04A0"/>
      </w:tblPr>
      <w:tblGrid>
        <w:gridCol w:w="3024"/>
        <w:gridCol w:w="6840"/>
      </w:tblGrid>
      <w:tr>
        <w:trPr>
          <w:cantSplit/>
        </w:trPr>
        <w:tc>
          <w:tcPr>
            <w:tcW w:type="dxa" w:w="3024"/>
            <w:shd w:fill="EEF3F7"/>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Name</w:t>
            </w:r>
          </w:p>
        </w:tc>
        <w:tc>
          <w:tcPr>
            <w:tcW w:type="dxa" w:w="6840"/>
            <w:shd w:fill="FFFFFF"/>
            <w:tcMar>
              <w:top w:w="100" w:type="dxa"/>
              <w:start w:w="120" w:type="dxa"/>
              <w:bottom w:w="100" w:type="dxa"/>
              <w:end w:w="120" w:type="dxa"/>
            </w:tcMar>
            <w:tcBorders>
              <w:bottom w:val="single" w:sz="4" w:color="CBD5DF"/>
            </w:tcBorders>
            <w:vAlign w:val="center"/>
          </w:tcPr>
          <w:p>
            <w:r>
              <w:rPr>
                <w:rFonts w:ascii="Aptos" w:hAnsi="Aptos" w:eastAsia="Aptos"/>
                <w:color w:val="24313A"/>
                <w:sz w:val="19"/>
              </w:rPr>
              <w:t>Prof. Dr. Ingo Froböse</w:t>
            </w:r>
          </w:p>
        </w:tc>
      </w:tr>
      <w:tr>
        <w:trPr>
          <w:cantSplit/>
        </w:trPr>
        <w:tc>
          <w:tcPr>
            <w:tcW w:type="dxa" w:w="3024"/>
            <w:shd w:fill="F4F6F8"/>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Geboren</w:t>
            </w:r>
          </w:p>
        </w:tc>
        <w:tc>
          <w:tcPr>
            <w:tcW w:type="dxa" w:w="6840"/>
            <w:shd w:fill="FAFBFC"/>
            <w:tcMar>
              <w:top w:w="100" w:type="dxa"/>
              <w:start w:w="120" w:type="dxa"/>
              <w:bottom w:w="100" w:type="dxa"/>
              <w:end w:w="120" w:type="dxa"/>
            </w:tcMar>
            <w:tcBorders>
              <w:bottom w:val="single" w:sz="4" w:color="CBD5DF"/>
            </w:tcBorders>
            <w:vAlign w:val="center"/>
          </w:tcPr>
          <w:p>
            <w:r>
              <w:rPr>
                <w:rFonts w:ascii="Aptos" w:hAnsi="Aptos" w:eastAsia="Aptos"/>
                <w:color w:val="24313A"/>
                <w:sz w:val="19"/>
              </w:rPr>
              <w:t>18. März 1957 in Unna, Nordrhein-Westfalen</w:t>
            </w:r>
          </w:p>
        </w:tc>
      </w:tr>
      <w:tr>
        <w:trPr>
          <w:cantSplit/>
        </w:trPr>
        <w:tc>
          <w:tcPr>
            <w:tcW w:type="dxa" w:w="3024"/>
            <w:shd w:fill="EEF3F7"/>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Fachgebiet</w:t>
            </w:r>
          </w:p>
        </w:tc>
        <w:tc>
          <w:tcPr>
            <w:tcW w:type="dxa" w:w="6840"/>
            <w:shd w:fill="FFFFFF"/>
            <w:tcMar>
              <w:top w:w="100" w:type="dxa"/>
              <w:start w:w="120" w:type="dxa"/>
              <w:bottom w:w="100" w:type="dxa"/>
              <w:end w:w="120" w:type="dxa"/>
            </w:tcMar>
            <w:tcBorders>
              <w:bottom w:val="single" w:sz="4" w:color="CBD5DF"/>
            </w:tcBorders>
            <w:vAlign w:val="center"/>
          </w:tcPr>
          <w:p>
            <w:r>
              <w:rPr>
                <w:rFonts w:ascii="Aptos" w:hAnsi="Aptos" w:eastAsia="Aptos"/>
                <w:color w:val="24313A"/>
                <w:sz w:val="19"/>
              </w:rPr>
              <w:t>Sportwissenschaft; Prävention und Rehabilitation im Sport</w:t>
            </w:r>
          </w:p>
        </w:tc>
      </w:tr>
      <w:tr>
        <w:trPr>
          <w:cantSplit/>
        </w:trPr>
        <w:tc>
          <w:tcPr>
            <w:tcW w:type="dxa" w:w="3024"/>
            <w:shd w:fill="F4F6F8"/>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Hochschule</w:t>
            </w:r>
          </w:p>
        </w:tc>
        <w:tc>
          <w:tcPr>
            <w:tcW w:type="dxa" w:w="6840"/>
            <w:shd w:fill="FAFBFC"/>
            <w:tcMar>
              <w:top w:w="100" w:type="dxa"/>
              <w:start w:w="120" w:type="dxa"/>
              <w:bottom w:w="100" w:type="dxa"/>
              <w:end w:w="120" w:type="dxa"/>
            </w:tcMar>
            <w:tcBorders>
              <w:bottom w:val="single" w:sz="4" w:color="CBD5DF"/>
            </w:tcBorders>
            <w:vAlign w:val="center"/>
          </w:tcPr>
          <w:p>
            <w:r>
              <w:rPr>
                <w:rFonts w:ascii="Aptos" w:hAnsi="Aptos" w:eastAsia="Aptos"/>
                <w:color w:val="24313A"/>
                <w:sz w:val="19"/>
              </w:rPr>
              <w:t>Deutsche Sporthochschule Köln</w:t>
            </w:r>
          </w:p>
        </w:tc>
      </w:tr>
      <w:tr>
        <w:trPr>
          <w:cantSplit/>
        </w:trPr>
        <w:tc>
          <w:tcPr>
            <w:tcW w:type="dxa" w:w="3024"/>
            <w:shd w:fill="EEF3F7"/>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Aktueller Status</w:t>
            </w:r>
          </w:p>
        </w:tc>
        <w:tc>
          <w:tcPr>
            <w:tcW w:type="dxa" w:w="6840"/>
            <w:shd w:fill="FFFFFF"/>
            <w:tcMar>
              <w:top w:w="100" w:type="dxa"/>
              <w:start w:w="120" w:type="dxa"/>
              <w:bottom w:w="100" w:type="dxa"/>
              <w:end w:w="120" w:type="dxa"/>
            </w:tcMar>
            <w:tcBorders>
              <w:bottom w:val="single" w:sz="4" w:color="CBD5DF"/>
            </w:tcBorders>
            <w:vAlign w:val="center"/>
          </w:tcPr>
          <w:p>
            <w:r>
              <w:rPr>
                <w:rFonts w:ascii="Aptos" w:hAnsi="Aptos" w:eastAsia="Aptos"/>
                <w:color w:val="24313A"/>
                <w:sz w:val="19"/>
              </w:rPr>
              <w:t>Emeritierter Universitätsprofessor; weiterhin Autor, Referent, Berater und Projektpartner</w:t>
            </w:r>
          </w:p>
        </w:tc>
      </w:tr>
      <w:tr>
        <w:trPr>
          <w:cantSplit/>
        </w:trPr>
        <w:tc>
          <w:tcPr>
            <w:tcW w:type="dxa" w:w="3024"/>
            <w:shd w:fill="F4F6F8"/>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Kernkompetenzen</w:t>
            </w:r>
          </w:p>
        </w:tc>
        <w:tc>
          <w:tcPr>
            <w:tcW w:type="dxa" w:w="6840"/>
            <w:shd w:fill="FAFBFC"/>
            <w:tcMar>
              <w:top w:w="100" w:type="dxa"/>
              <w:start w:w="120" w:type="dxa"/>
              <w:bottom w:w="100" w:type="dxa"/>
              <w:end w:w="120" w:type="dxa"/>
            </w:tcMar>
            <w:tcBorders>
              <w:bottom w:val="single" w:sz="4" w:color="CBD5DF"/>
            </w:tcBorders>
            <w:vAlign w:val="center"/>
          </w:tcPr>
          <w:p>
            <w:r>
              <w:rPr>
                <w:rFonts w:ascii="Aptos" w:hAnsi="Aptos" w:eastAsia="Aptos"/>
                <w:color w:val="24313A"/>
                <w:sz w:val="19"/>
              </w:rPr>
              <w:t>Bewegungstherapie, Training, Prävention, Rehabilitation, Muskel- und Rückengesundheit, Gesundheitsförderung</w:t>
            </w:r>
          </w:p>
        </w:tc>
      </w:tr>
      <w:tr>
        <w:trPr>
          <w:cantSplit/>
        </w:trPr>
        <w:tc>
          <w:tcPr>
            <w:tcW w:type="dxa" w:w="3024"/>
            <w:shd w:fill="EEF3F7"/>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Öffentliche Tätigkeit</w:t>
            </w:r>
          </w:p>
        </w:tc>
        <w:tc>
          <w:tcPr>
            <w:tcW w:type="dxa" w:w="6840"/>
            <w:shd w:fill="FFFFFF"/>
            <w:tcMar>
              <w:top w:w="100" w:type="dxa"/>
              <w:start w:w="120" w:type="dxa"/>
              <w:bottom w:w="100" w:type="dxa"/>
              <w:end w:w="120" w:type="dxa"/>
            </w:tcMar>
            <w:tcBorders>
              <w:bottom w:val="single" w:sz="4" w:color="CBD5DF"/>
            </w:tcBorders>
            <w:vAlign w:val="center"/>
          </w:tcPr>
          <w:p>
            <w:r>
              <w:rPr>
                <w:rFonts w:ascii="Aptos" w:hAnsi="Aptos" w:eastAsia="Aptos"/>
                <w:color w:val="24313A"/>
                <w:sz w:val="19"/>
              </w:rPr>
              <w:t>Sachbuchautor, Medienexperte, Berater für Prävention und Gesundheitskommunikation</w:t>
            </w:r>
          </w:p>
        </w:tc>
      </w:tr>
      <w:tr>
        <w:trPr>
          <w:cantSplit/>
        </w:trPr>
        <w:tc>
          <w:tcPr>
            <w:tcW w:type="dxa" w:w="3024"/>
            <w:shd w:fill="F4F6F8"/>
            <w:tcMar>
              <w:top w:w="100" w:type="dxa"/>
              <w:start w:w="120" w:type="dxa"/>
              <w:bottom w:w="100" w:type="dxa"/>
              <w:end w:w="120" w:type="dxa"/>
            </w:tcMar>
            <w:tcBorders>
              <w:bottom w:val="single" w:sz="4" w:color="CBD5DF"/>
            </w:tcBorders>
            <w:vAlign w:val="center"/>
          </w:tcPr>
          <w:p>
            <w:r>
              <w:rPr>
                <w:rFonts w:ascii="Aptos" w:hAnsi="Aptos" w:eastAsia="Aptos"/>
                <w:b/>
                <w:color w:val="17324D"/>
                <w:sz w:val="19"/>
              </w:rPr>
              <w:t>Sportlicher Hintergrund</w:t>
            </w:r>
          </w:p>
        </w:tc>
        <w:tc>
          <w:tcPr>
            <w:tcW w:type="dxa" w:w="6840"/>
            <w:shd w:fill="FAFBFC"/>
            <w:tcMar>
              <w:top w:w="100" w:type="dxa"/>
              <w:start w:w="120" w:type="dxa"/>
              <w:bottom w:w="100" w:type="dxa"/>
              <w:end w:w="120" w:type="dxa"/>
            </w:tcMar>
            <w:tcBorders>
              <w:bottom w:val="single" w:sz="4" w:color="CBD5DF"/>
            </w:tcBorders>
            <w:vAlign w:val="center"/>
          </w:tcPr>
          <w:p>
            <w:r>
              <w:rPr>
                <w:rFonts w:ascii="Aptos" w:hAnsi="Aptos" w:eastAsia="Aptos"/>
                <w:color w:val="24313A"/>
                <w:sz w:val="19"/>
              </w:rPr>
              <w:t>Ehemaliger Leistungssprinter; 4. Platz über 200 m bei den Hallen-Europameisterschaften 1982</w:t>
            </w:r>
          </w:p>
        </w:tc>
      </w:tr>
    </w:tbl>
    <w:p>
      <w:pPr>
        <w:spacing w:after="120" w:line="276" w:lineRule="auto"/>
      </w:pPr>
      <w:r>
        <w:rPr>
          <w:rFonts w:ascii="Aptos" w:hAnsi="Aptos" w:eastAsia="Aptos"/>
          <w:color w:val="24313A"/>
          <w:sz w:val="20"/>
        </w:rPr>
        <w:t>Froböse ist promovierter Sportwissenschaftler. Der Titel „Prof. Dr.“ darf nicht mit einer ärztlichen Qualifikation verwechselt werden: Er ist kein Facharzt für Innere Medizin, Endokrinologie oder Ernährungsmedizin. Seine besondere Expertise liegt in der sport- und bewegungswissenschaftlichen Prävention und Rehabilitation.</w:t>
      </w:r>
      <w:r>
        <w:rPr>
          <w:rFonts w:ascii="Aptos" w:hAnsi="Aptos" w:eastAsia="Aptos"/>
          <w:color w:val="1F6F78"/>
          <w:sz w:val="16"/>
          <w:vertAlign w:val="superscript"/>
        </w:rPr>
        <w:t xml:space="preserve"> [1]</w:t>
      </w:r>
      <w:r>
        <w:rPr>
          <w:rFonts w:ascii="Aptos" w:hAnsi="Aptos" w:eastAsia="Aptos"/>
          <w:color w:val="1F6F78"/>
          <w:sz w:val="16"/>
          <w:vertAlign w:val="superscript"/>
        </w:rPr>
        <w:t xml:space="preserve"> [2]</w:t>
      </w:r>
    </w:p>
    <w:p>
      <w:pPr>
        <w:pStyle w:val="Heading2"/>
        <w:keepNext/>
        <w:spacing w:before="140" w:after="80"/>
      </w:pPr>
      <w:r>
        <w:rPr>
          <w:rFonts w:ascii="Aptos" w:hAnsi="Aptos" w:eastAsia="Aptos"/>
          <w:b/>
          <w:color w:val="1F6F78"/>
          <w:sz w:val="26"/>
        </w:rPr>
        <w:t>Kurzprofil in einem Satz</w:t>
      </w:r>
    </w:p>
    <w:tbl>
      <w:tblPr>
        <w:tblW w:type="auto" w:w="0"/>
        <w:jc w:val="center"/>
        <w:tblLayout w:type="fixed"/>
        <w:tblLook w:firstColumn="1" w:firstRow="1" w:lastColumn="0" w:lastRow="0" w:noHBand="0" w:noVBand="1" w:val="04A0"/>
      </w:tblPr>
      <w:tblGrid>
        <w:gridCol w:w="173"/>
        <w:gridCol w:w="9677"/>
      </w:tblGrid>
      <w:tr>
        <w:trPr>
          <w:cantSplit/>
        </w:trPr>
        <w:tc>
          <w:tcPr>
            <w:tcW w:type="dxa" w:w="4939"/>
            <w:shd w:fill="17324D"/>
            <w:tcMar>
              <w:top w:w="120" w:type="dxa"/>
              <w:start w:w="120" w:type="dxa"/>
              <w:bottom w:w="120" w:type="dxa"/>
              <w:end w:w="120" w:type="dxa"/>
            </w:tcMar>
            <w:tcBorders>
              <w:top w:val="single" w:sz="4" w:color="EEF3F7"/>
              <w:left w:val="single" w:sz="4" w:color="EEF3F7"/>
              <w:bottom w:val="single" w:sz="4" w:color="EEF3F7"/>
              <w:right w:val="single" w:sz="4" w:color="EEF3F7"/>
            </w:tcBorders>
          </w:tcPr>
          <w:p/>
        </w:tc>
        <w:tc>
          <w:tcPr>
            <w:tcW w:type="dxa" w:w="4939"/>
            <w:shd w:fill="EEF3F7"/>
            <w:tcMar>
              <w:top w:w="120" w:type="dxa"/>
              <w:start w:w="120" w:type="dxa"/>
              <w:bottom w:w="120" w:type="dxa"/>
              <w:end w:w="120" w:type="dxa"/>
            </w:tcMar>
            <w:tcBorders>
              <w:top w:val="single" w:sz="4" w:color="EEF3F7"/>
              <w:left w:val="single" w:sz="4" w:color="EEF3F7"/>
              <w:bottom w:val="single" w:sz="4" w:color="EEF3F7"/>
              <w:right w:val="single" w:sz="4" w:color="EEF3F7"/>
            </w:tcBorders>
          </w:tcPr>
          <w:p>
            <w:pPr>
              <w:spacing w:after="40"/>
            </w:pPr>
            <w:r>
              <w:rPr>
                <w:rFonts w:ascii="Aptos" w:hAnsi="Aptos" w:eastAsia="Aptos"/>
                <w:b/>
                <w:color w:val="17324D"/>
                <w:sz w:val="21"/>
              </w:rPr>
              <w:t>Einordnung</w:t>
            </w:r>
          </w:p>
          <w:p>
            <w:pPr>
              <w:spacing w:after="0" w:line="264" w:lineRule="auto"/>
            </w:pPr>
            <w:r>
              <w:rPr>
                <w:rFonts w:ascii="Aptos" w:hAnsi="Aptos" w:eastAsia="Aptos"/>
                <w:color w:val="24313A"/>
                <w:sz w:val="19"/>
              </w:rPr>
              <w:t>Ein praxisorientierter Hochschullehrer und Gesundheitskommunikator, der die gesundheitsfördernde Wirkung von Bewegung, Training und Muskelerhalt wissenschaftlich untersucht und für ein breites Publikum übersetzt.</w:t>
            </w:r>
          </w:p>
        </w:tc>
      </w:tr>
    </w:tbl>
    <w:p>
      <w:pPr>
        <w:spacing w:after="40"/>
      </w:pPr>
    </w:p>
    <w:p>
      <w:pPr>
        <w:pStyle w:val="Heading1"/>
        <w:keepNext/>
        <w:spacing w:before="200" w:after="80"/>
      </w:pPr>
      <w:r>
        <w:rPr>
          <w:rFonts w:ascii="Aptos" w:hAnsi="Aptos" w:eastAsia="Aptos"/>
          <w:b/>
          <w:color w:val="17324D"/>
          <w:sz w:val="34"/>
        </w:rPr>
        <w:t>2  Wissenschaftlicher Werdegang und öffentliche Rollen</w:t>
      </w:r>
    </w:p>
    <w:p>
      <w:pPr>
        <w:spacing w:after="120" w:line="276" w:lineRule="auto"/>
      </w:pPr>
      <w:r>
        <w:rPr>
          <w:rFonts w:ascii="Aptos" w:hAnsi="Aptos" w:eastAsia="Aptos"/>
          <w:color w:val="24313A"/>
          <w:sz w:val="20"/>
        </w:rPr>
        <w:t>Die öffentlich zugänglichen biografischen Quellen nennen ein Diplomstudium der Sportwissenschaft an der Deutschen Sporthochschule Köln mit Schwerpunkt Rehabilitation, den Abschluss 1983, die Promotion 1986, die Habilitation 1993 und die Ernennung zum Hochschulprofessor 1995. Ingo Froböse leitete über viele Jahre das Institut für Bewegungstherapie und bewegungsorientierte Prävention und Rehabilitation beziehungsweise dessen einschlägige Abteilung. Die Institutsleitung endete 2023; seitdem wird er als emeritierter Professor geführt.</w:t>
      </w:r>
    </w:p>
    <w:tbl>
      <w:tblPr>
        <w:tblW w:type="auto" w:w="0"/>
        <w:jc w:val="center"/>
        <w:tblLayout w:type="fixed"/>
        <w:tblLook w:firstColumn="1" w:firstRow="1" w:lastColumn="0" w:lastRow="0" w:noHBand="0" w:noVBand="1" w:val="04A0"/>
      </w:tblPr>
      <w:tblGrid>
        <w:gridCol w:w="1728"/>
        <w:gridCol w:w="8136"/>
      </w:tblGrid>
      <w:tr>
        <w:trPr>
          <w:tblHeader w:val="true"/>
          <w:cantSplit/>
        </w:trPr>
        <w:tc>
          <w:tcPr>
            <w:tcW w:type="dxa" w:w="4939"/>
            <w:shd w:fill="17324D"/>
            <w:tcMar>
              <w:top w:w="100" w:type="dxa"/>
              <w:start w:w="120" w:type="dxa"/>
              <w:bottom w:w="100" w:type="dxa"/>
              <w:end w:w="120" w:type="dxa"/>
            </w:tcMar>
          </w:tcPr>
          <w:p>
            <w:r>
              <w:rPr>
                <w:rFonts w:ascii="Aptos" w:hAnsi="Aptos" w:eastAsia="Aptos"/>
                <w:b/>
                <w:color w:val="FFFFFF"/>
                <w:sz w:val="18"/>
              </w:rPr>
              <w:t>Jahr</w:t>
            </w:r>
          </w:p>
        </w:tc>
        <w:tc>
          <w:tcPr>
            <w:tcW w:type="dxa" w:w="4939"/>
            <w:shd w:fill="17324D"/>
            <w:tcMar>
              <w:top w:w="100" w:type="dxa"/>
              <w:start w:w="120" w:type="dxa"/>
              <w:bottom w:w="100" w:type="dxa"/>
              <w:end w:w="120" w:type="dxa"/>
            </w:tcMar>
          </w:tcPr>
          <w:p>
            <w:r>
              <w:rPr>
                <w:rFonts w:ascii="Aptos" w:hAnsi="Aptos" w:eastAsia="Aptos"/>
                <w:b/>
                <w:color w:val="FFFFFF"/>
                <w:sz w:val="18"/>
              </w:rPr>
              <w:t>Station</w:t>
            </w:r>
          </w:p>
        </w:tc>
      </w:tr>
      <w:tr>
        <w:trPr>
          <w:cantSplit/>
        </w:trPr>
        <w:tc>
          <w:tcPr>
            <w:tcW w:type="dxa" w:w="1728"/>
            <w:shd w:fill="E8F2F3"/>
            <w:tcMar>
              <w:top w:w="90" w:type="dxa"/>
              <w:start w:w="120" w:type="dxa"/>
              <w:bottom w:w="90" w:type="dxa"/>
              <w:end w:w="120" w:type="dxa"/>
            </w:tcMar>
            <w:tcBorders>
              <w:bottom w:val="single" w:sz="4" w:color="CBD5DF"/>
            </w:tcBorders>
          </w:tcPr>
          <w:p>
            <w:r>
              <w:rPr>
                <w:rFonts w:ascii="Aptos" w:hAnsi="Aptos" w:eastAsia="Aptos"/>
                <w:b/>
                <w:color w:val="1F6F78"/>
                <w:sz w:val="19"/>
              </w:rPr>
              <w:t>1976</w:t>
            </w:r>
          </w:p>
        </w:tc>
        <w:tc>
          <w:tcPr>
            <w:tcW w:type="dxa" w:w="8136"/>
            <w:shd w:fill="FFFFFF"/>
            <w:tcMar>
              <w:top w:w="90" w:type="dxa"/>
              <w:start w:w="120" w:type="dxa"/>
              <w:bottom w:w="90" w:type="dxa"/>
              <w:end w:w="120" w:type="dxa"/>
            </w:tcMar>
            <w:tcBorders>
              <w:bottom w:val="single" w:sz="4" w:color="CBD5DF"/>
            </w:tcBorders>
          </w:tcPr>
          <w:p>
            <w:r>
              <w:rPr>
                <w:rFonts w:ascii="Aptos" w:hAnsi="Aptos" w:eastAsia="Aptos"/>
                <w:color w:val="24313A"/>
                <w:sz w:val="19"/>
              </w:rPr>
              <w:t>Abitur in Kamen; anschließend Studium</w:t>
            </w:r>
          </w:p>
        </w:tc>
      </w:tr>
      <w:tr>
        <w:trPr>
          <w:cantSplit/>
        </w:trPr>
        <w:tc>
          <w:tcPr>
            <w:tcW w:type="dxa" w:w="1728"/>
            <w:shd w:fill="F4F6F8"/>
            <w:tcMar>
              <w:top w:w="90" w:type="dxa"/>
              <w:start w:w="120" w:type="dxa"/>
              <w:bottom w:w="90" w:type="dxa"/>
              <w:end w:w="120" w:type="dxa"/>
            </w:tcMar>
            <w:tcBorders>
              <w:bottom w:val="single" w:sz="4" w:color="CBD5DF"/>
            </w:tcBorders>
          </w:tcPr>
          <w:p>
            <w:r>
              <w:rPr>
                <w:rFonts w:ascii="Aptos" w:hAnsi="Aptos" w:eastAsia="Aptos"/>
                <w:b/>
                <w:color w:val="1F6F78"/>
                <w:sz w:val="19"/>
              </w:rPr>
              <w:t>1983</w:t>
            </w:r>
          </w:p>
        </w:tc>
        <w:tc>
          <w:tcPr>
            <w:tcW w:type="dxa" w:w="8136"/>
            <w:shd w:fill="FAFBFC"/>
            <w:tcMar>
              <w:top w:w="90" w:type="dxa"/>
              <w:start w:w="120" w:type="dxa"/>
              <w:bottom w:w="90" w:type="dxa"/>
              <w:end w:w="120" w:type="dxa"/>
            </w:tcMar>
            <w:tcBorders>
              <w:bottom w:val="single" w:sz="4" w:color="CBD5DF"/>
            </w:tcBorders>
          </w:tcPr>
          <w:p>
            <w:r>
              <w:rPr>
                <w:rFonts w:ascii="Aptos" w:hAnsi="Aptos" w:eastAsia="Aptos"/>
                <w:color w:val="24313A"/>
                <w:sz w:val="19"/>
              </w:rPr>
              <w:t>Diplomabschluss Sportwissenschaft, Schwerpunkt Rehabilitation</w:t>
            </w:r>
          </w:p>
        </w:tc>
      </w:tr>
      <w:tr>
        <w:trPr>
          <w:cantSplit/>
        </w:trPr>
        <w:tc>
          <w:tcPr>
            <w:tcW w:type="dxa" w:w="1728"/>
            <w:shd w:fill="E8F2F3"/>
            <w:tcMar>
              <w:top w:w="90" w:type="dxa"/>
              <w:start w:w="120" w:type="dxa"/>
              <w:bottom w:w="90" w:type="dxa"/>
              <w:end w:w="120" w:type="dxa"/>
            </w:tcMar>
            <w:tcBorders>
              <w:bottom w:val="single" w:sz="4" w:color="CBD5DF"/>
            </w:tcBorders>
          </w:tcPr>
          <w:p>
            <w:r>
              <w:rPr>
                <w:rFonts w:ascii="Aptos" w:hAnsi="Aptos" w:eastAsia="Aptos"/>
                <w:b/>
                <w:color w:val="1F6F78"/>
                <w:sz w:val="19"/>
              </w:rPr>
              <w:t>1986</w:t>
            </w:r>
          </w:p>
        </w:tc>
        <w:tc>
          <w:tcPr>
            <w:tcW w:type="dxa" w:w="8136"/>
            <w:shd w:fill="FFFFFF"/>
            <w:tcMar>
              <w:top w:w="90" w:type="dxa"/>
              <w:start w:w="120" w:type="dxa"/>
              <w:bottom w:w="90" w:type="dxa"/>
              <w:end w:w="120" w:type="dxa"/>
            </w:tcMar>
            <w:tcBorders>
              <w:bottom w:val="single" w:sz="4" w:color="CBD5DF"/>
            </w:tcBorders>
          </w:tcPr>
          <w:p>
            <w:r>
              <w:rPr>
                <w:rFonts w:ascii="Aptos" w:hAnsi="Aptos" w:eastAsia="Aptos"/>
                <w:color w:val="24313A"/>
                <w:sz w:val="19"/>
              </w:rPr>
              <w:t>Promotion an der Deutschen Sporthochschule Köln</w:t>
            </w:r>
          </w:p>
        </w:tc>
      </w:tr>
      <w:tr>
        <w:trPr>
          <w:cantSplit/>
        </w:trPr>
        <w:tc>
          <w:tcPr>
            <w:tcW w:type="dxa" w:w="1728"/>
            <w:shd w:fill="F4F6F8"/>
            <w:tcMar>
              <w:top w:w="90" w:type="dxa"/>
              <w:start w:w="120" w:type="dxa"/>
              <w:bottom w:w="90" w:type="dxa"/>
              <w:end w:w="120" w:type="dxa"/>
            </w:tcMar>
            <w:tcBorders>
              <w:bottom w:val="single" w:sz="4" w:color="CBD5DF"/>
            </w:tcBorders>
          </w:tcPr>
          <w:p>
            <w:r>
              <w:rPr>
                <w:rFonts w:ascii="Aptos" w:hAnsi="Aptos" w:eastAsia="Aptos"/>
                <w:b/>
                <w:color w:val="1F6F78"/>
                <w:sz w:val="19"/>
              </w:rPr>
              <w:t>1993</w:t>
            </w:r>
          </w:p>
        </w:tc>
        <w:tc>
          <w:tcPr>
            <w:tcW w:type="dxa" w:w="8136"/>
            <w:shd w:fill="FAFBFC"/>
            <w:tcMar>
              <w:top w:w="90" w:type="dxa"/>
              <w:start w:w="120" w:type="dxa"/>
              <w:bottom w:w="90" w:type="dxa"/>
              <w:end w:w="120" w:type="dxa"/>
            </w:tcMar>
            <w:tcBorders>
              <w:bottom w:val="single" w:sz="4" w:color="CBD5DF"/>
            </w:tcBorders>
          </w:tcPr>
          <w:p>
            <w:r>
              <w:rPr>
                <w:rFonts w:ascii="Aptos" w:hAnsi="Aptos" w:eastAsia="Aptos"/>
                <w:color w:val="24313A"/>
                <w:sz w:val="19"/>
              </w:rPr>
              <w:t>Habilitation</w:t>
            </w:r>
          </w:p>
        </w:tc>
      </w:tr>
      <w:tr>
        <w:trPr>
          <w:cantSplit/>
        </w:trPr>
        <w:tc>
          <w:tcPr>
            <w:tcW w:type="dxa" w:w="1728"/>
            <w:shd w:fill="E8F2F3"/>
            <w:tcMar>
              <w:top w:w="90" w:type="dxa"/>
              <w:start w:w="120" w:type="dxa"/>
              <w:bottom w:w="90" w:type="dxa"/>
              <w:end w:w="120" w:type="dxa"/>
            </w:tcMar>
            <w:tcBorders>
              <w:bottom w:val="single" w:sz="4" w:color="CBD5DF"/>
            </w:tcBorders>
          </w:tcPr>
          <w:p>
            <w:r>
              <w:rPr>
                <w:rFonts w:ascii="Aptos" w:hAnsi="Aptos" w:eastAsia="Aptos"/>
                <w:b/>
                <w:color w:val="1F6F78"/>
                <w:sz w:val="19"/>
              </w:rPr>
              <w:t>1995</w:t>
            </w:r>
          </w:p>
        </w:tc>
        <w:tc>
          <w:tcPr>
            <w:tcW w:type="dxa" w:w="8136"/>
            <w:shd w:fill="FFFFFF"/>
            <w:tcMar>
              <w:top w:w="90" w:type="dxa"/>
              <w:start w:w="120" w:type="dxa"/>
              <w:bottom w:w="90" w:type="dxa"/>
              <w:end w:w="120" w:type="dxa"/>
            </w:tcMar>
            <w:tcBorders>
              <w:bottom w:val="single" w:sz="4" w:color="CBD5DF"/>
            </w:tcBorders>
          </w:tcPr>
          <w:p>
            <w:r>
              <w:rPr>
                <w:rFonts w:ascii="Aptos" w:hAnsi="Aptos" w:eastAsia="Aptos"/>
                <w:color w:val="24313A"/>
                <w:sz w:val="19"/>
              </w:rPr>
              <w:t>Ernennung zum Hochschulprofessor</w:t>
            </w:r>
          </w:p>
        </w:tc>
      </w:tr>
      <w:tr>
        <w:trPr>
          <w:cantSplit/>
        </w:trPr>
        <w:tc>
          <w:tcPr>
            <w:tcW w:type="dxa" w:w="1728"/>
            <w:shd w:fill="F4F6F8"/>
            <w:tcMar>
              <w:top w:w="90" w:type="dxa"/>
              <w:start w:w="120" w:type="dxa"/>
              <w:bottom w:w="90" w:type="dxa"/>
              <w:end w:w="120" w:type="dxa"/>
            </w:tcMar>
            <w:tcBorders>
              <w:bottom w:val="single" w:sz="4" w:color="CBD5DF"/>
            </w:tcBorders>
          </w:tcPr>
          <w:p>
            <w:r>
              <w:rPr>
                <w:rFonts w:ascii="Aptos" w:hAnsi="Aptos" w:eastAsia="Aptos"/>
                <w:b/>
                <w:color w:val="1F6F78"/>
                <w:sz w:val="19"/>
              </w:rPr>
              <w:t>1999–2003</w:t>
            </w:r>
          </w:p>
        </w:tc>
        <w:tc>
          <w:tcPr>
            <w:tcW w:type="dxa" w:w="8136"/>
            <w:shd w:fill="FAFBFC"/>
            <w:tcMar>
              <w:top w:w="90" w:type="dxa"/>
              <w:start w:w="120" w:type="dxa"/>
              <w:bottom w:w="90" w:type="dxa"/>
              <w:end w:w="120" w:type="dxa"/>
            </w:tcMar>
            <w:tcBorders>
              <w:bottom w:val="single" w:sz="4" w:color="CBD5DF"/>
            </w:tcBorders>
          </w:tcPr>
          <w:p>
            <w:r>
              <w:rPr>
                <w:rFonts w:ascii="Aptos" w:hAnsi="Aptos" w:eastAsia="Aptos"/>
                <w:color w:val="24313A"/>
                <w:sz w:val="19"/>
              </w:rPr>
              <w:t>Prorektor an der Deutschen Sporthochschule Köln (institutionelle biografische Quelle)</w:t>
            </w:r>
          </w:p>
        </w:tc>
      </w:tr>
      <w:tr>
        <w:trPr>
          <w:cantSplit/>
        </w:trPr>
        <w:tc>
          <w:tcPr>
            <w:tcW w:type="dxa" w:w="1728"/>
            <w:shd w:fill="E8F2F3"/>
            <w:tcMar>
              <w:top w:w="90" w:type="dxa"/>
              <w:start w:w="120" w:type="dxa"/>
              <w:bottom w:w="90" w:type="dxa"/>
              <w:end w:w="120" w:type="dxa"/>
            </w:tcMar>
            <w:tcBorders>
              <w:bottom w:val="single" w:sz="4" w:color="CBD5DF"/>
            </w:tcBorders>
          </w:tcPr>
          <w:p>
            <w:r>
              <w:rPr>
                <w:rFonts w:ascii="Aptos" w:hAnsi="Aptos" w:eastAsia="Aptos"/>
                <w:b/>
                <w:color w:val="1F6F78"/>
                <w:sz w:val="19"/>
              </w:rPr>
              <w:t>bis 2023</w:t>
            </w:r>
          </w:p>
        </w:tc>
        <w:tc>
          <w:tcPr>
            <w:tcW w:type="dxa" w:w="8136"/>
            <w:shd w:fill="FFFFFF"/>
            <w:tcMar>
              <w:top w:w="90" w:type="dxa"/>
              <w:start w:w="120" w:type="dxa"/>
              <w:bottom w:w="90" w:type="dxa"/>
              <w:end w:w="120" w:type="dxa"/>
            </w:tcMar>
            <w:tcBorders>
              <w:bottom w:val="single" w:sz="4" w:color="CBD5DF"/>
            </w:tcBorders>
          </w:tcPr>
          <w:p>
            <w:r>
              <w:rPr>
                <w:rFonts w:ascii="Aptos" w:hAnsi="Aptos" w:eastAsia="Aptos"/>
                <w:color w:val="24313A"/>
                <w:sz w:val="19"/>
              </w:rPr>
              <w:t>Leitung des Instituts für Bewegungstherapie</w:t>
            </w:r>
          </w:p>
        </w:tc>
      </w:tr>
      <w:tr>
        <w:trPr>
          <w:cantSplit/>
        </w:trPr>
        <w:tc>
          <w:tcPr>
            <w:tcW w:type="dxa" w:w="1728"/>
            <w:shd w:fill="F4F6F8"/>
            <w:tcMar>
              <w:top w:w="90" w:type="dxa"/>
              <w:start w:w="120" w:type="dxa"/>
              <w:bottom w:w="90" w:type="dxa"/>
              <w:end w:w="120" w:type="dxa"/>
            </w:tcMar>
            <w:tcBorders>
              <w:bottom w:val="single" w:sz="4" w:color="CBD5DF"/>
            </w:tcBorders>
          </w:tcPr>
          <w:p>
            <w:r>
              <w:rPr>
                <w:rFonts w:ascii="Aptos" w:hAnsi="Aptos" w:eastAsia="Aptos"/>
                <w:b/>
                <w:color w:val="1F6F78"/>
                <w:sz w:val="19"/>
              </w:rPr>
              <w:t>seit 2023</w:t>
            </w:r>
          </w:p>
        </w:tc>
        <w:tc>
          <w:tcPr>
            <w:tcW w:type="dxa" w:w="8136"/>
            <w:shd w:fill="FAFBFC"/>
            <w:tcMar>
              <w:top w:w="90" w:type="dxa"/>
              <w:start w:w="120" w:type="dxa"/>
              <w:bottom w:w="90" w:type="dxa"/>
              <w:end w:w="120" w:type="dxa"/>
            </w:tcMar>
            <w:tcBorders>
              <w:bottom w:val="single" w:sz="4" w:color="CBD5DF"/>
            </w:tcBorders>
          </w:tcPr>
          <w:p>
            <w:r>
              <w:rPr>
                <w:rFonts w:ascii="Aptos" w:hAnsi="Aptos" w:eastAsia="Aptos"/>
                <w:color w:val="24313A"/>
                <w:sz w:val="19"/>
              </w:rPr>
              <w:t>Partner der Kölner Denkfabrik „fischimwasser“; weiterhin Autor und Gesundheitsberater</w:t>
            </w:r>
          </w:p>
        </w:tc>
      </w:tr>
    </w:tbl>
    <w:p>
      <w:pPr>
        <w:pStyle w:val="Heading2"/>
        <w:keepNext/>
        <w:spacing w:before="140" w:after="80"/>
      </w:pPr>
      <w:r>
        <w:rPr>
          <w:rFonts w:ascii="Aptos" w:hAnsi="Aptos" w:eastAsia="Aptos"/>
          <w:b/>
          <w:color w:val="1F6F78"/>
          <w:sz w:val="26"/>
        </w:rPr>
        <w:t>Leistungssport als biografischer Hintergrund</w:t>
      </w:r>
    </w:p>
    <w:p>
      <w:pPr>
        <w:spacing w:after="120" w:line="276" w:lineRule="auto"/>
      </w:pPr>
      <w:r>
        <w:rPr>
          <w:rFonts w:ascii="Aptos" w:hAnsi="Aptos" w:eastAsia="Aptos"/>
          <w:color w:val="24313A"/>
          <w:sz w:val="20"/>
        </w:rPr>
        <w:t>Während seiner Studienzeit war Froböse erfolgreicher Sprinter. Offizielle Athletenprofile und aktuelle Vita-Angaben führen ihn als Finalisten der Hallen-Europameisterschaften 1982 über 200 Meter; er belegte dort Rang vier. Seine sportliche Erfahrung prägt erkennbar die spätere Verbindung von Trainingspraxis, Leistungsdiagnostik und Gesundheitsförderung.</w:t>
      </w:r>
      <w:r>
        <w:rPr>
          <w:rFonts w:ascii="Aptos" w:hAnsi="Aptos" w:eastAsia="Aptos"/>
          <w:color w:val="1F6F78"/>
          <w:sz w:val="16"/>
          <w:vertAlign w:val="superscript"/>
        </w:rPr>
        <w:t xml:space="preserve"> [3]</w:t>
      </w:r>
      <w:r>
        <w:rPr>
          <w:rFonts w:ascii="Aptos" w:hAnsi="Aptos" w:eastAsia="Aptos"/>
          <w:color w:val="1F6F78"/>
          <w:sz w:val="16"/>
          <w:vertAlign w:val="superscript"/>
        </w:rPr>
        <w:t xml:space="preserve"> [4]</w:t>
      </w:r>
    </w:p>
    <w:p>
      <w:pPr>
        <w:pStyle w:val="Heading2"/>
        <w:keepNext/>
        <w:spacing w:before="140" w:after="80"/>
      </w:pPr>
      <w:r>
        <w:rPr>
          <w:rFonts w:ascii="Aptos" w:hAnsi="Aptos" w:eastAsia="Aptos"/>
          <w:b/>
          <w:color w:val="1F6F78"/>
          <w:sz w:val="26"/>
        </w:rPr>
        <w:t>Öffentliche und beratende Rollen</w:t>
      </w:r>
    </w:p>
    <w:p>
      <w:pPr>
        <w:pStyle w:val="ListBullet"/>
        <w:spacing w:after="60" w:line="264" w:lineRule="auto"/>
        <w:ind w:left="288" w:hanging="173"/>
      </w:pPr>
      <w:r>
        <w:rPr>
          <w:rFonts w:ascii="Aptos" w:hAnsi="Aptos" w:eastAsia="Aptos"/>
          <w:color w:val="24313A"/>
          <w:sz w:val="20"/>
        </w:rPr>
        <w:t>langjährige Leitung universitärer Arbeitsbereiche für Bewegungstherapie, Prävention und Rehabilitation;</w:t>
      </w:r>
    </w:p>
    <w:p>
      <w:pPr>
        <w:pStyle w:val="ListBullet"/>
        <w:spacing w:after="60" w:line="264" w:lineRule="auto"/>
        <w:ind w:left="288" w:hanging="173"/>
      </w:pPr>
      <w:r>
        <w:rPr>
          <w:rFonts w:ascii="Aptos" w:hAnsi="Aptos" w:eastAsia="Aptos"/>
          <w:color w:val="24313A"/>
          <w:sz w:val="20"/>
        </w:rPr>
        <w:t>wissenschaftliche Beratung von Krankenkassen, Sozialversicherungsträgern und politischen Gremien;</w:t>
      </w:r>
    </w:p>
    <w:p>
      <w:pPr>
        <w:pStyle w:val="ListBullet"/>
        <w:spacing w:after="60" w:line="264" w:lineRule="auto"/>
        <w:ind w:left="288" w:hanging="173"/>
      </w:pPr>
      <w:r>
        <w:rPr>
          <w:rFonts w:ascii="Aptos" w:hAnsi="Aptos" w:eastAsia="Aptos"/>
          <w:color w:val="24313A"/>
          <w:sz w:val="20"/>
        </w:rPr>
        <w:t>Mitwirkung an Institutionen und Projekten zur Qualitätssicherung in Prävention und Rehabilitation;</w:t>
      </w:r>
    </w:p>
    <w:p>
      <w:pPr>
        <w:pStyle w:val="ListBullet"/>
        <w:spacing w:after="60" w:line="264" w:lineRule="auto"/>
        <w:ind w:left="288" w:hanging="173"/>
      </w:pPr>
      <w:r>
        <w:rPr>
          <w:rFonts w:ascii="Aptos" w:hAnsi="Aptos" w:eastAsia="Aptos"/>
          <w:color w:val="24313A"/>
          <w:sz w:val="20"/>
        </w:rPr>
        <w:t>Medienvermittlung in Fernsehen, Podcasts, Print- und Onlineformaten;</w:t>
      </w:r>
    </w:p>
    <w:p>
      <w:pPr>
        <w:pStyle w:val="ListBullet"/>
        <w:spacing w:after="60" w:line="264" w:lineRule="auto"/>
        <w:ind w:left="288" w:hanging="173"/>
      </w:pPr>
      <w:r>
        <w:rPr>
          <w:rFonts w:ascii="Aptos" w:hAnsi="Aptos" w:eastAsia="Aptos"/>
          <w:color w:val="24313A"/>
          <w:sz w:val="20"/>
        </w:rPr>
        <w:t>seit 2023 Partner bei „fischimwasser“, einer Denkfabrik für Gesundheitsförderung und Prävention.</w:t>
      </w:r>
    </w:p>
    <w:tbl>
      <w:tblPr>
        <w:tblW w:type="auto" w:w="0"/>
        <w:jc w:val="center"/>
        <w:tblLayout w:type="fixed"/>
        <w:tblLook w:firstColumn="1" w:firstRow="1" w:lastColumn="0" w:lastRow="0" w:noHBand="0" w:noVBand="1" w:val="04A0"/>
      </w:tblPr>
      <w:tblGrid>
        <w:gridCol w:w="173"/>
        <w:gridCol w:w="9677"/>
      </w:tblGrid>
      <w:tr>
        <w:trPr>
          <w:cantSplit/>
        </w:trPr>
        <w:tc>
          <w:tcPr>
            <w:tcW w:type="dxa" w:w="4939"/>
            <w:shd w:fill="C79A3B"/>
            <w:tcMar>
              <w:top w:w="120" w:type="dxa"/>
              <w:start w:w="120" w:type="dxa"/>
              <w:bottom w:w="120" w:type="dxa"/>
              <w:end w:w="120" w:type="dxa"/>
            </w:tcMar>
            <w:tcBorders>
              <w:top w:val="single" w:sz="4" w:color="FFF4D6"/>
              <w:left w:val="single" w:sz="4" w:color="FFF4D6"/>
              <w:bottom w:val="single" w:sz="4" w:color="FFF4D6"/>
              <w:right w:val="single" w:sz="4" w:color="FFF4D6"/>
            </w:tcBorders>
          </w:tcPr>
          <w:p/>
        </w:tc>
        <w:tc>
          <w:tcPr>
            <w:tcW w:type="dxa" w:w="4939"/>
            <w:shd w:fill="FFF4D6"/>
            <w:tcMar>
              <w:top w:w="120" w:type="dxa"/>
              <w:start w:w="120" w:type="dxa"/>
              <w:bottom w:w="120" w:type="dxa"/>
              <w:end w:w="120" w:type="dxa"/>
            </w:tcMar>
            <w:tcBorders>
              <w:top w:val="single" w:sz="4" w:color="FFF4D6"/>
              <w:left w:val="single" w:sz="4" w:color="FFF4D6"/>
              <w:bottom w:val="single" w:sz="4" w:color="FFF4D6"/>
              <w:right w:val="single" w:sz="4" w:color="FFF4D6"/>
            </w:tcBorders>
          </w:tcPr>
          <w:p>
            <w:pPr>
              <w:spacing w:after="40"/>
            </w:pPr>
            <w:r>
              <w:rPr>
                <w:rFonts w:ascii="Aptos" w:hAnsi="Aptos" w:eastAsia="Aptos"/>
                <w:b/>
                <w:color w:val="C79A3B"/>
                <w:sz w:val="21"/>
              </w:rPr>
              <w:t>Transparenzhinweis</w:t>
            </w:r>
          </w:p>
          <w:p>
            <w:pPr>
              <w:spacing w:after="0" w:line="264" w:lineRule="auto"/>
            </w:pPr>
            <w:r>
              <w:rPr>
                <w:rFonts w:ascii="Aptos" w:hAnsi="Aptos" w:eastAsia="Aptos"/>
                <w:color w:val="24313A"/>
                <w:sz w:val="19"/>
              </w:rPr>
              <w:t>Institutionelle Leitungsfunktionen, Beiratsrollen und Medienauftritte sind nicht automatisch wissenschaftliche Qualitätsnachweise. Entscheidend für die fachliche Bewertung sind das jeweilige Forschungsthema, die Methodik, die Publikationsform und die Übereinstimmung mit unabhängigen Leitlinien.</w:t>
            </w:r>
          </w:p>
        </w:tc>
      </w:tr>
    </w:tbl>
    <w:p>
      <w:pPr>
        <w:spacing w:after="40"/>
      </w:pPr>
    </w:p>
    <w:p>
      <w:pPr>
        <w:pStyle w:val="Heading1"/>
        <w:keepNext/>
        <w:spacing w:before="200" w:after="80"/>
      </w:pPr>
      <w:r>
        <w:rPr>
          <w:rFonts w:ascii="Aptos" w:hAnsi="Aptos" w:eastAsia="Aptos"/>
          <w:b/>
          <w:color w:val="17324D"/>
          <w:sz w:val="34"/>
        </w:rPr>
        <w:t>3  Forschungsschwerpunkte</w:t>
      </w:r>
    </w:p>
    <w:p>
      <w:pPr>
        <w:spacing w:after="120" w:line="276" w:lineRule="auto"/>
      </w:pPr>
      <w:r>
        <w:rPr>
          <w:rFonts w:ascii="Aptos" w:hAnsi="Aptos" w:eastAsia="Aptos"/>
          <w:color w:val="24313A"/>
          <w:sz w:val="20"/>
        </w:rPr>
        <w:t>Froböses wissenschaftliches Profil ist breit, besitzt aber einen klaren roten Faden: Bewegung soll nicht nur Leistungsfähigkeit steigern, sondern Krankheiten vorbeugen, Rehabilitation unterstützen und Selbstständigkeit erhalten. Die folgenden Felder sind in seinen Publikationen, Projekten und Lehrwerken besonders sichtbar.</w:t>
      </w:r>
    </w:p>
    <w:p>
      <w:pPr>
        <w:pStyle w:val="Heading2"/>
        <w:keepNext/>
        <w:spacing w:before="140" w:after="80"/>
      </w:pPr>
      <w:r>
        <w:rPr>
          <w:rFonts w:ascii="Aptos" w:hAnsi="Aptos" w:eastAsia="Aptos"/>
          <w:b/>
          <w:color w:val="1F6F78"/>
          <w:sz w:val="26"/>
        </w:rPr>
        <w:t>3.1  Bewegungstherapie und Rehabilitation</w:t>
      </w:r>
    </w:p>
    <w:p>
      <w:pPr>
        <w:spacing w:after="120" w:line="276" w:lineRule="auto"/>
      </w:pPr>
      <w:r>
        <w:rPr>
          <w:rFonts w:ascii="Aptos" w:hAnsi="Aptos" w:eastAsia="Aptos"/>
          <w:color w:val="24313A"/>
          <w:sz w:val="20"/>
        </w:rPr>
        <w:t>Untersuchung und Vermittlung von Trainingsprinzipien für Menschen nach Verletzungen, bei chronischen Beschwerden oder mit eingeschränkter Leistungsfähigkeit. Dazu gehören Ausdauer-, Kraft-, Koordinations- und sensomotorisches Training sowie die Dosierung von Belastung und Regeneration.</w:t>
      </w:r>
    </w:p>
    <w:p>
      <w:pPr>
        <w:pStyle w:val="Heading2"/>
        <w:keepNext/>
        <w:spacing w:before="140" w:after="80"/>
      </w:pPr>
      <w:r>
        <w:rPr>
          <w:rFonts w:ascii="Aptos" w:hAnsi="Aptos" w:eastAsia="Aptos"/>
          <w:b/>
          <w:color w:val="1F6F78"/>
          <w:sz w:val="26"/>
        </w:rPr>
        <w:t>3.2  Prävention und Gesundheitsförderung</w:t>
      </w:r>
    </w:p>
    <w:p>
      <w:pPr>
        <w:spacing w:after="120" w:line="276" w:lineRule="auto"/>
      </w:pPr>
      <w:r>
        <w:rPr>
          <w:rFonts w:ascii="Aptos" w:hAnsi="Aptos" w:eastAsia="Aptos"/>
          <w:color w:val="24313A"/>
          <w:sz w:val="20"/>
        </w:rPr>
        <w:t>Entwicklung bewegungsbezogener Programme für unterschiedliche Lebenswelten – etwa Betriebe, Kommunen, Familien, ältere Menschen und Personen mit erhöhtem Gesundheitsrisiko. Ziel ist nicht nur Sportteilnahme, sondern die dauerhafte Integration von Aktivität in den Alltag.</w:t>
      </w:r>
    </w:p>
    <w:p>
      <w:pPr>
        <w:pStyle w:val="Heading2"/>
        <w:keepNext/>
        <w:spacing w:before="140" w:after="80"/>
      </w:pPr>
      <w:r>
        <w:rPr>
          <w:rFonts w:ascii="Aptos" w:hAnsi="Aptos" w:eastAsia="Aptos"/>
          <w:b/>
          <w:color w:val="1F6F78"/>
          <w:sz w:val="26"/>
        </w:rPr>
        <w:t>3.3  Muskel-, Rücken- und Funktionsgesundheit</w:t>
      </w:r>
    </w:p>
    <w:p>
      <w:pPr>
        <w:spacing w:after="120" w:line="276" w:lineRule="auto"/>
      </w:pPr>
      <w:r>
        <w:rPr>
          <w:rFonts w:ascii="Aptos" w:hAnsi="Aptos" w:eastAsia="Aptos"/>
          <w:color w:val="24313A"/>
          <w:sz w:val="20"/>
        </w:rPr>
        <w:t>Ein wiederkehrender Schwerpunkt sind Muskelkraft, Beweglichkeit, Haltung, Rückengesundheit und die Erhaltung funktioneller Fähigkeiten. Froböse betrachtet Muskulatur als zentralen Ansatzpunkt für Stoffwechselgesundheit, Mobilität und gesundes Altern.</w:t>
      </w:r>
    </w:p>
    <w:p>
      <w:pPr>
        <w:pStyle w:val="Heading2"/>
        <w:keepNext/>
        <w:spacing w:before="140" w:after="80"/>
      </w:pPr>
      <w:r>
        <w:rPr>
          <w:rFonts w:ascii="Aptos" w:hAnsi="Aptos" w:eastAsia="Aptos"/>
          <w:b/>
          <w:color w:val="1F6F78"/>
          <w:sz w:val="26"/>
        </w:rPr>
        <w:t>3.4  Betriebliche Gesundheitsförderung und Arbeitsfähigkeit</w:t>
      </w:r>
    </w:p>
    <w:p>
      <w:pPr>
        <w:spacing w:after="120" w:line="276" w:lineRule="auto"/>
      </w:pPr>
      <w:r>
        <w:rPr>
          <w:rFonts w:ascii="Aptos" w:hAnsi="Aptos" w:eastAsia="Aptos"/>
          <w:color w:val="24313A"/>
          <w:sz w:val="20"/>
        </w:rPr>
        <w:t>Forschungs- und Transferprojekte untersuchen, wie Bewegungsangebote, ergonomische Gestaltung und digitale Interventionen die Aktivität, Gesundheitskompetenz und Arbeitsfähigkeit in beruflichen Kontexten verbessern können.</w:t>
      </w:r>
    </w:p>
    <w:p>
      <w:pPr>
        <w:pStyle w:val="Heading2"/>
        <w:keepNext/>
        <w:spacing w:before="140" w:after="80"/>
      </w:pPr>
      <w:r>
        <w:rPr>
          <w:rFonts w:ascii="Aptos" w:hAnsi="Aptos" w:eastAsia="Aptos"/>
          <w:b/>
          <w:color w:val="1F6F78"/>
          <w:sz w:val="26"/>
        </w:rPr>
        <w:t>3.5  Aktive Mobilität und Public Health</w:t>
      </w:r>
    </w:p>
    <w:p>
      <w:pPr>
        <w:spacing w:after="120" w:line="276" w:lineRule="auto"/>
      </w:pPr>
      <w:r>
        <w:rPr>
          <w:rFonts w:ascii="Aptos" w:hAnsi="Aptos" w:eastAsia="Aptos"/>
          <w:color w:val="24313A"/>
          <w:sz w:val="20"/>
        </w:rPr>
        <w:t>Im Zentrum stehen Alltagsbewegung, Gehen, Radfahren und die Frage, wie Umwelt, Motivation und Programme körperliche Aktivität in der Bevölkerung fördern. Dazu gehören auch repräsentative Gesundheitsberichte und kommunale Ansätze.</w:t>
      </w:r>
    </w:p>
    <w:p>
      <w:pPr>
        <w:pStyle w:val="Heading2"/>
        <w:keepNext/>
        <w:spacing w:before="140" w:after="80"/>
      </w:pPr>
      <w:r>
        <w:rPr>
          <w:rFonts w:ascii="Aptos" w:hAnsi="Aptos" w:eastAsia="Aptos"/>
          <w:b/>
          <w:color w:val="1F6F78"/>
          <w:sz w:val="26"/>
        </w:rPr>
        <w:t>3.6  Gesundheit im E-Sport</w:t>
      </w:r>
    </w:p>
    <w:p>
      <w:pPr>
        <w:spacing w:after="120" w:line="276" w:lineRule="auto"/>
      </w:pPr>
      <w:r>
        <w:rPr>
          <w:rFonts w:ascii="Aptos" w:hAnsi="Aptos" w:eastAsia="Aptos"/>
          <w:color w:val="24313A"/>
          <w:sz w:val="20"/>
        </w:rPr>
        <w:t>Froböses Arbeitsgruppe gehörte in Deutschland früh zu den Teams, die Trainingsverhalten, Sitzzeiten, Stress, Schlaf, körperliche Beanspruchung und Präventionsbedarf von E-Sportlerinnen und E-Sportlern systematisch untersuchten.</w:t>
      </w:r>
    </w:p>
    <w:p>
      <w:pPr>
        <w:pStyle w:val="Heading2"/>
        <w:keepNext/>
        <w:spacing w:before="140" w:after="80"/>
      </w:pPr>
      <w:r>
        <w:rPr>
          <w:rFonts w:ascii="Aptos" w:hAnsi="Aptos" w:eastAsia="Aptos"/>
          <w:b/>
          <w:color w:val="1F6F78"/>
          <w:sz w:val="26"/>
        </w:rPr>
        <w:t>3.7  Gesundheit im höheren Lebensalter</w:t>
      </w:r>
    </w:p>
    <w:p>
      <w:pPr>
        <w:spacing w:after="120" w:line="276" w:lineRule="auto"/>
      </w:pPr>
      <w:r>
        <w:rPr>
          <w:rFonts w:ascii="Aptos" w:hAnsi="Aptos" w:eastAsia="Aptos"/>
          <w:color w:val="24313A"/>
          <w:sz w:val="20"/>
        </w:rPr>
        <w:t>Muskelerhalt, Sarkopenie, Ausdauer, Balance, Beweglichkeit und die Fähigkeit zur selbstständigen Alltagsbewältigung bilden einen wichtigen Transferbereich. Dieses Feld verbindet sein wissenschaftliches Profil direkt mit seinen Büchern für Menschen ab 50 oder 55.</w:t>
      </w:r>
    </w:p>
    <w:p>
      <w:pPr>
        <w:pStyle w:val="Heading2"/>
        <w:keepNext/>
        <w:spacing w:before="140" w:after="80"/>
      </w:pPr>
      <w:r>
        <w:rPr>
          <w:rFonts w:ascii="Aptos" w:hAnsi="Aptos" w:eastAsia="Aptos"/>
          <w:b/>
          <w:color w:val="1F6F78"/>
          <w:sz w:val="26"/>
        </w:rPr>
        <w:t>Forschungsprofil auf einen Blick</w:t>
      </w:r>
    </w:p>
    <w:tbl>
      <w:tblPr>
        <w:tblW w:type="auto" w:w="0"/>
        <w:jc w:val="center"/>
        <w:tblLayout w:type="fixed"/>
        <w:tblLook w:firstColumn="1" w:firstRow="1" w:lastColumn="0" w:lastRow="0" w:noHBand="0" w:noVBand="1" w:val="04A0"/>
      </w:tblPr>
      <w:tblGrid>
        <w:gridCol w:w="2880"/>
        <w:gridCol w:w="3240"/>
        <w:gridCol w:w="3744"/>
      </w:tblGrid>
      <w:tr>
        <w:trPr>
          <w:tblHeader w:val="true"/>
          <w:cantSplit/>
        </w:trPr>
        <w:tc>
          <w:tcPr>
            <w:tcW w:type="dxa" w:w="3293"/>
            <w:shd w:fill="17324D"/>
            <w:tcMar>
              <w:top w:w="100" w:type="dxa"/>
              <w:start w:w="100" w:type="dxa"/>
              <w:bottom w:w="100" w:type="dxa"/>
              <w:end w:w="100" w:type="dxa"/>
            </w:tcMar>
          </w:tcPr>
          <w:p>
            <w:r>
              <w:rPr>
                <w:rFonts w:ascii="Aptos" w:hAnsi="Aptos" w:eastAsia="Aptos"/>
                <w:b/>
                <w:color w:val="FFFFFF"/>
                <w:sz w:val="18"/>
              </w:rPr>
              <w:t>Feld</w:t>
            </w:r>
          </w:p>
        </w:tc>
        <w:tc>
          <w:tcPr>
            <w:tcW w:type="dxa" w:w="3293"/>
            <w:shd w:fill="17324D"/>
            <w:tcMar>
              <w:top w:w="100" w:type="dxa"/>
              <w:start w:w="100" w:type="dxa"/>
              <w:bottom w:w="100" w:type="dxa"/>
              <w:end w:w="100" w:type="dxa"/>
            </w:tcMar>
          </w:tcPr>
          <w:p>
            <w:r>
              <w:rPr>
                <w:rFonts w:ascii="Aptos" w:hAnsi="Aptos" w:eastAsia="Aptos"/>
                <w:b/>
                <w:color w:val="FFFFFF"/>
                <w:sz w:val="18"/>
              </w:rPr>
              <w:t>Typische Fragestellung</w:t>
            </w:r>
          </w:p>
        </w:tc>
        <w:tc>
          <w:tcPr>
            <w:tcW w:type="dxa" w:w="3293"/>
            <w:shd w:fill="17324D"/>
            <w:tcMar>
              <w:top w:w="100" w:type="dxa"/>
              <w:start w:w="100" w:type="dxa"/>
              <w:bottom w:w="100" w:type="dxa"/>
              <w:end w:w="100" w:type="dxa"/>
            </w:tcMar>
          </w:tcPr>
          <w:p>
            <w:r>
              <w:rPr>
                <w:rFonts w:ascii="Aptos" w:hAnsi="Aptos" w:eastAsia="Aptos"/>
                <w:b/>
                <w:color w:val="FFFFFF"/>
                <w:sz w:val="18"/>
              </w:rPr>
              <w:t>Praxisbezug</w:t>
            </w:r>
          </w:p>
        </w:tc>
      </w:tr>
      <w:tr>
        <w:trPr>
          <w:cantSplit/>
        </w:trPr>
        <w:tc>
          <w:tcPr>
            <w:tcW w:type="dxa" w:w="2880"/>
            <w:shd w:fill="FFFFFF"/>
            <w:tcMar>
              <w:top w:w="90" w:type="dxa"/>
              <w:start w:w="100" w:type="dxa"/>
              <w:bottom w:w="90" w:type="dxa"/>
              <w:end w:w="100" w:type="dxa"/>
            </w:tcMar>
            <w:tcBorders>
              <w:bottom w:val="single" w:sz="4" w:color="CBD5DF"/>
            </w:tcBorders>
          </w:tcPr>
          <w:p>
            <w:r>
              <w:rPr>
                <w:rFonts w:ascii="Aptos" w:hAnsi="Aptos" w:eastAsia="Aptos"/>
                <w:b/>
                <w:color w:val="1F6F78"/>
                <w:sz w:val="18"/>
              </w:rPr>
              <w:t>Prävention</w:t>
            </w:r>
          </w:p>
        </w:tc>
        <w:tc>
          <w:tcPr>
            <w:tcW w:type="dxa" w:w="3240"/>
            <w:shd w:fill="FFFFFF"/>
            <w:tcMar>
              <w:top w:w="90" w:type="dxa"/>
              <w:start w:w="100" w:type="dxa"/>
              <w:bottom w:w="90" w:type="dxa"/>
              <w:end w:w="100" w:type="dxa"/>
            </w:tcMar>
            <w:tcBorders>
              <w:bottom w:val="single" w:sz="4" w:color="CBD5DF"/>
            </w:tcBorders>
          </w:tcPr>
          <w:p>
            <w:r>
              <w:rPr>
                <w:rFonts w:ascii="Aptos" w:hAnsi="Aptos" w:eastAsia="Aptos"/>
                <w:b w:val="0"/>
                <w:color w:val="24313A"/>
                <w:sz w:val="18"/>
              </w:rPr>
              <w:t>Wie lässt sich Aktivität dauerhaft erhöhen?</w:t>
            </w:r>
          </w:p>
        </w:tc>
        <w:tc>
          <w:tcPr>
            <w:tcW w:type="dxa" w:w="3744"/>
            <w:shd w:fill="FFFFFF"/>
            <w:tcMar>
              <w:top w:w="90" w:type="dxa"/>
              <w:start w:w="100" w:type="dxa"/>
              <w:bottom w:w="90" w:type="dxa"/>
              <w:end w:w="100" w:type="dxa"/>
            </w:tcMar>
            <w:tcBorders>
              <w:bottom w:val="single" w:sz="4" w:color="CBD5DF"/>
            </w:tcBorders>
          </w:tcPr>
          <w:p>
            <w:r>
              <w:rPr>
                <w:rFonts w:ascii="Aptos" w:hAnsi="Aptos" w:eastAsia="Aptos"/>
                <w:b w:val="0"/>
                <w:color w:val="24313A"/>
                <w:sz w:val="18"/>
              </w:rPr>
              <w:t>Alltag, Betriebe, Kommunen</w:t>
            </w:r>
          </w:p>
        </w:tc>
      </w:tr>
      <w:tr>
        <w:trPr>
          <w:cantSplit/>
        </w:trPr>
        <w:tc>
          <w:tcPr>
            <w:tcW w:type="dxa" w:w="2880"/>
            <w:shd w:fill="F4F6F8"/>
            <w:tcMar>
              <w:top w:w="90" w:type="dxa"/>
              <w:start w:w="100" w:type="dxa"/>
              <w:bottom w:w="90" w:type="dxa"/>
              <w:end w:w="100" w:type="dxa"/>
            </w:tcMar>
            <w:tcBorders>
              <w:bottom w:val="single" w:sz="4" w:color="CBD5DF"/>
            </w:tcBorders>
          </w:tcPr>
          <w:p>
            <w:r>
              <w:rPr>
                <w:rFonts w:ascii="Aptos" w:hAnsi="Aptos" w:eastAsia="Aptos"/>
                <w:b/>
                <w:color w:val="1F6F78"/>
                <w:sz w:val="18"/>
              </w:rPr>
              <w:t>Rehabilitation</w:t>
            </w:r>
          </w:p>
        </w:tc>
        <w:tc>
          <w:tcPr>
            <w:tcW w:type="dxa" w:w="3240"/>
            <w:shd w:fill="F4F6F8"/>
            <w:tcMar>
              <w:top w:w="90" w:type="dxa"/>
              <w:start w:w="100" w:type="dxa"/>
              <w:bottom w:w="90" w:type="dxa"/>
              <w:end w:w="100" w:type="dxa"/>
            </w:tcMar>
            <w:tcBorders>
              <w:bottom w:val="single" w:sz="4" w:color="CBD5DF"/>
            </w:tcBorders>
          </w:tcPr>
          <w:p>
            <w:r>
              <w:rPr>
                <w:rFonts w:ascii="Aptos" w:hAnsi="Aptos" w:eastAsia="Aptos"/>
                <w:b w:val="0"/>
                <w:color w:val="24313A"/>
                <w:sz w:val="18"/>
              </w:rPr>
              <w:t>Wie wird Belastbarkeit gezielt aufgebaut?</w:t>
            </w:r>
          </w:p>
        </w:tc>
        <w:tc>
          <w:tcPr>
            <w:tcW w:type="dxa" w:w="3744"/>
            <w:shd w:fill="F4F6F8"/>
            <w:tcMar>
              <w:top w:w="90" w:type="dxa"/>
              <w:start w:w="100" w:type="dxa"/>
              <w:bottom w:w="90" w:type="dxa"/>
              <w:end w:w="100" w:type="dxa"/>
            </w:tcMar>
            <w:tcBorders>
              <w:bottom w:val="single" w:sz="4" w:color="CBD5DF"/>
            </w:tcBorders>
          </w:tcPr>
          <w:p>
            <w:r>
              <w:rPr>
                <w:rFonts w:ascii="Aptos" w:hAnsi="Aptos" w:eastAsia="Aptos"/>
                <w:b w:val="0"/>
                <w:color w:val="24313A"/>
                <w:sz w:val="18"/>
              </w:rPr>
              <w:t>Therapie, Rückkehr zu Sport/Arbeit</w:t>
            </w:r>
          </w:p>
        </w:tc>
      </w:tr>
      <w:tr>
        <w:trPr>
          <w:cantSplit/>
        </w:trPr>
        <w:tc>
          <w:tcPr>
            <w:tcW w:type="dxa" w:w="2880"/>
            <w:shd w:fill="FFFFFF"/>
            <w:tcMar>
              <w:top w:w="90" w:type="dxa"/>
              <w:start w:w="100" w:type="dxa"/>
              <w:bottom w:w="90" w:type="dxa"/>
              <w:end w:w="100" w:type="dxa"/>
            </w:tcMar>
            <w:tcBorders>
              <w:bottom w:val="single" w:sz="4" w:color="CBD5DF"/>
            </w:tcBorders>
          </w:tcPr>
          <w:p>
            <w:r>
              <w:rPr>
                <w:rFonts w:ascii="Aptos" w:hAnsi="Aptos" w:eastAsia="Aptos"/>
                <w:b/>
                <w:color w:val="1F6F78"/>
                <w:sz w:val="18"/>
              </w:rPr>
              <w:t>Muskulatur</w:t>
            </w:r>
          </w:p>
        </w:tc>
        <w:tc>
          <w:tcPr>
            <w:tcW w:type="dxa" w:w="3240"/>
            <w:shd w:fill="FFFFFF"/>
            <w:tcMar>
              <w:top w:w="90" w:type="dxa"/>
              <w:start w:w="100" w:type="dxa"/>
              <w:bottom w:w="90" w:type="dxa"/>
              <w:end w:w="100" w:type="dxa"/>
            </w:tcMar>
            <w:tcBorders>
              <w:bottom w:val="single" w:sz="4" w:color="CBD5DF"/>
            </w:tcBorders>
          </w:tcPr>
          <w:p>
            <w:r>
              <w:rPr>
                <w:rFonts w:ascii="Aptos" w:hAnsi="Aptos" w:eastAsia="Aptos"/>
                <w:b w:val="0"/>
                <w:color w:val="24313A"/>
                <w:sz w:val="18"/>
              </w:rPr>
              <w:t>Wie bleiben Kraft und Funktion erhalten?</w:t>
            </w:r>
          </w:p>
        </w:tc>
        <w:tc>
          <w:tcPr>
            <w:tcW w:type="dxa" w:w="3744"/>
            <w:shd w:fill="FFFFFF"/>
            <w:tcMar>
              <w:top w:w="90" w:type="dxa"/>
              <w:start w:w="100" w:type="dxa"/>
              <w:bottom w:w="90" w:type="dxa"/>
              <w:end w:w="100" w:type="dxa"/>
            </w:tcMar>
            <w:tcBorders>
              <w:bottom w:val="single" w:sz="4" w:color="CBD5DF"/>
            </w:tcBorders>
          </w:tcPr>
          <w:p>
            <w:r>
              <w:rPr>
                <w:rFonts w:ascii="Aptos" w:hAnsi="Aptos" w:eastAsia="Aptos"/>
                <w:b w:val="0"/>
                <w:color w:val="24313A"/>
                <w:sz w:val="18"/>
              </w:rPr>
              <w:t>Sarkopenie, Rücken, Mobilität</w:t>
            </w:r>
          </w:p>
        </w:tc>
      </w:tr>
      <w:tr>
        <w:trPr>
          <w:cantSplit/>
        </w:trPr>
        <w:tc>
          <w:tcPr>
            <w:tcW w:type="dxa" w:w="2880"/>
            <w:shd w:fill="F4F6F8"/>
            <w:tcMar>
              <w:top w:w="90" w:type="dxa"/>
              <w:start w:w="100" w:type="dxa"/>
              <w:bottom w:w="90" w:type="dxa"/>
              <w:end w:w="100" w:type="dxa"/>
            </w:tcMar>
            <w:tcBorders>
              <w:bottom w:val="single" w:sz="4" w:color="CBD5DF"/>
            </w:tcBorders>
          </w:tcPr>
          <w:p>
            <w:r>
              <w:rPr>
                <w:rFonts w:ascii="Aptos" w:hAnsi="Aptos" w:eastAsia="Aptos"/>
                <w:b/>
                <w:color w:val="1F6F78"/>
                <w:sz w:val="18"/>
              </w:rPr>
              <w:t>Gesundheitsverhalten</w:t>
            </w:r>
          </w:p>
        </w:tc>
        <w:tc>
          <w:tcPr>
            <w:tcW w:type="dxa" w:w="3240"/>
            <w:shd w:fill="F4F6F8"/>
            <w:tcMar>
              <w:top w:w="90" w:type="dxa"/>
              <w:start w:w="100" w:type="dxa"/>
              <w:bottom w:w="90" w:type="dxa"/>
              <w:end w:w="100" w:type="dxa"/>
            </w:tcMar>
            <w:tcBorders>
              <w:bottom w:val="single" w:sz="4" w:color="CBD5DF"/>
            </w:tcBorders>
          </w:tcPr>
          <w:p>
            <w:r>
              <w:rPr>
                <w:rFonts w:ascii="Aptos" w:hAnsi="Aptos" w:eastAsia="Aptos"/>
                <w:b w:val="0"/>
                <w:color w:val="24313A"/>
                <w:sz w:val="18"/>
              </w:rPr>
              <w:t>Welche Interventionen werden akzeptiert?</w:t>
            </w:r>
          </w:p>
        </w:tc>
        <w:tc>
          <w:tcPr>
            <w:tcW w:type="dxa" w:w="3744"/>
            <w:shd w:fill="F4F6F8"/>
            <w:tcMar>
              <w:top w:w="90" w:type="dxa"/>
              <w:start w:w="100" w:type="dxa"/>
              <w:bottom w:w="90" w:type="dxa"/>
              <w:end w:w="100" w:type="dxa"/>
            </w:tcMar>
            <w:tcBorders>
              <w:bottom w:val="single" w:sz="4" w:color="CBD5DF"/>
            </w:tcBorders>
          </w:tcPr>
          <w:p>
            <w:r>
              <w:rPr>
                <w:rFonts w:ascii="Aptos" w:hAnsi="Aptos" w:eastAsia="Aptos"/>
                <w:b w:val="0"/>
                <w:color w:val="24313A"/>
                <w:sz w:val="18"/>
              </w:rPr>
              <w:t>Apps, Beratung, Programme</w:t>
            </w:r>
          </w:p>
        </w:tc>
      </w:tr>
      <w:tr>
        <w:trPr>
          <w:cantSplit/>
        </w:trPr>
        <w:tc>
          <w:tcPr>
            <w:tcW w:type="dxa" w:w="2880"/>
            <w:shd w:fill="FFFFFF"/>
            <w:tcMar>
              <w:top w:w="90" w:type="dxa"/>
              <w:start w:w="100" w:type="dxa"/>
              <w:bottom w:w="90" w:type="dxa"/>
              <w:end w:w="100" w:type="dxa"/>
            </w:tcMar>
            <w:tcBorders>
              <w:bottom w:val="single" w:sz="4" w:color="CBD5DF"/>
            </w:tcBorders>
          </w:tcPr>
          <w:p>
            <w:r>
              <w:rPr>
                <w:rFonts w:ascii="Aptos" w:hAnsi="Aptos" w:eastAsia="Aptos"/>
                <w:b/>
                <w:color w:val="1F6F78"/>
                <w:sz w:val="18"/>
              </w:rPr>
              <w:t>E-Sport</w:t>
            </w:r>
          </w:p>
        </w:tc>
        <w:tc>
          <w:tcPr>
            <w:tcW w:type="dxa" w:w="3240"/>
            <w:shd w:fill="FFFFFF"/>
            <w:tcMar>
              <w:top w:w="90" w:type="dxa"/>
              <w:start w:w="100" w:type="dxa"/>
              <w:bottom w:w="90" w:type="dxa"/>
              <w:end w:w="100" w:type="dxa"/>
            </w:tcMar>
            <w:tcBorders>
              <w:bottom w:val="single" w:sz="4" w:color="CBD5DF"/>
            </w:tcBorders>
          </w:tcPr>
          <w:p>
            <w:r>
              <w:rPr>
                <w:rFonts w:ascii="Aptos" w:hAnsi="Aptos" w:eastAsia="Aptos"/>
                <w:b w:val="0"/>
                <w:color w:val="24313A"/>
                <w:sz w:val="18"/>
              </w:rPr>
              <w:t>Welche Belastungen entstehen beim Gaming?</w:t>
            </w:r>
          </w:p>
        </w:tc>
        <w:tc>
          <w:tcPr>
            <w:tcW w:type="dxa" w:w="3744"/>
            <w:shd w:fill="FFFFFF"/>
            <w:tcMar>
              <w:top w:w="90" w:type="dxa"/>
              <w:start w:w="100" w:type="dxa"/>
              <w:bottom w:w="90" w:type="dxa"/>
              <w:end w:w="100" w:type="dxa"/>
            </w:tcMar>
            <w:tcBorders>
              <w:bottom w:val="single" w:sz="4" w:color="CBD5DF"/>
            </w:tcBorders>
          </w:tcPr>
          <w:p>
            <w:r>
              <w:rPr>
                <w:rFonts w:ascii="Aptos" w:hAnsi="Aptos" w:eastAsia="Aptos"/>
                <w:b w:val="0"/>
                <w:color w:val="24313A"/>
                <w:sz w:val="18"/>
              </w:rPr>
              <w:t>Ergonomie, Stress, Ausgleichstraining</w:t>
            </w:r>
          </w:p>
        </w:tc>
      </w:tr>
    </w:tbl>
    <w:p>
      <w:pPr>
        <w:pStyle w:val="Heading1"/>
        <w:keepNext/>
        <w:spacing w:before="200" w:after="80"/>
      </w:pPr>
      <w:r>
        <w:rPr>
          <w:rFonts w:ascii="Aptos" w:hAnsi="Aptos" w:eastAsia="Aptos"/>
          <w:b/>
          <w:color w:val="17324D"/>
          <w:sz w:val="34"/>
        </w:rPr>
        <w:t>4  Wissenschaftliches Werk und ausgewählte Projekte</w:t>
      </w:r>
    </w:p>
    <w:p>
      <w:pPr>
        <w:spacing w:after="120" w:line="276" w:lineRule="auto"/>
      </w:pPr>
      <w:r>
        <w:rPr>
          <w:rFonts w:ascii="Aptos" w:hAnsi="Aptos" w:eastAsia="Aptos"/>
          <w:color w:val="24313A"/>
          <w:sz w:val="20"/>
        </w:rPr>
        <w:t>Das Forschungsinformationssystem der Deutschen Sporthochschule Köln verzeichnet für Ingo Froböse aktuell 354 Publikations- und Forschungsoutputs sowie 45 Projekte. Aufgeschlüsselt werden unter anderem 147 Zeitschriftenaufsätze, 78 Konferenzabstracts, 30 Sammelwerksbeiträge und 25 Monografien. Die Datenbank erfasst Forschung, Lehre, Tagungsbeiträge und Transferpublikationen; die Gesamtzahl darf deshalb nicht als Zahl unabhängiger klinischer Studien gelesen werden.</w:t>
      </w:r>
      <w:r>
        <w:rPr>
          <w:rFonts w:ascii="Aptos" w:hAnsi="Aptos" w:eastAsia="Aptos"/>
          <w:color w:val="1F6F78"/>
          <w:sz w:val="16"/>
          <w:vertAlign w:val="superscript"/>
        </w:rPr>
        <w:t xml:space="preserve"> [1]</w:t>
      </w:r>
    </w:p>
    <w:p>
      <w:pPr>
        <w:pStyle w:val="Heading2"/>
        <w:keepNext/>
        <w:spacing w:before="140" w:after="80"/>
      </w:pPr>
      <w:r>
        <w:rPr>
          <w:rFonts w:ascii="Aptos" w:hAnsi="Aptos" w:eastAsia="Aptos"/>
          <w:b/>
          <w:color w:val="1F6F78"/>
          <w:sz w:val="26"/>
        </w:rPr>
        <w:t>Ausgewählte wissenschaftliche und fachliche Arbeiten</w:t>
      </w:r>
    </w:p>
    <w:p>
      <w:pPr>
        <w:spacing w:after="100" w:line="269" w:lineRule="auto"/>
      </w:pPr>
      <w:r>
        <w:rPr>
          <w:rFonts w:ascii="Aptos" w:hAnsi="Aptos" w:eastAsia="Aptos"/>
          <w:b/>
          <w:color w:val="17324D"/>
          <w:sz w:val="20"/>
        </w:rPr>
        <w:t xml:space="preserve">Training in der Therapie, Band 1: Grundlagen: </w:t>
      </w:r>
      <w:r>
        <w:rPr>
          <w:rFonts w:ascii="Aptos" w:hAnsi="Aptos" w:eastAsia="Aptos"/>
          <w:color w:val="24313A"/>
          <w:sz w:val="20"/>
        </w:rPr>
        <w:t>Herausgegeben mit Christiane Wilke; systematisches Lehrwerk zu Belastungssteuerung, Trainingsformen und therapeutischer Anwendung.</w:t>
      </w:r>
    </w:p>
    <w:p>
      <w:pPr>
        <w:spacing w:after="100" w:line="269" w:lineRule="auto"/>
      </w:pPr>
      <w:r>
        <w:rPr>
          <w:rFonts w:ascii="Aptos" w:hAnsi="Aptos" w:eastAsia="Aptos"/>
          <w:b/>
          <w:color w:val="17324D"/>
          <w:sz w:val="20"/>
        </w:rPr>
        <w:t xml:space="preserve">Der DKV-Report „Wie gesund lebt Deutschland?“: </w:t>
      </w:r>
      <w:r>
        <w:rPr>
          <w:rFonts w:ascii="Aptos" w:hAnsi="Aptos" w:eastAsia="Aptos"/>
          <w:color w:val="24313A"/>
          <w:sz w:val="20"/>
        </w:rPr>
        <w:t>Bevölkerungsbezogene Auswertung von Bewegung, Ernährung, Stress, Alkohol, Rauchen und subjektivem Wohlbefinden; Beitrag zur Gesundheitsberichterstattung.</w:t>
      </w:r>
    </w:p>
    <w:p>
      <w:pPr>
        <w:spacing w:after="100" w:line="269" w:lineRule="auto"/>
      </w:pPr>
      <w:r>
        <w:rPr>
          <w:rFonts w:ascii="Aptos" w:hAnsi="Aptos" w:eastAsia="Aptos"/>
          <w:b/>
          <w:color w:val="17324D"/>
          <w:sz w:val="20"/>
        </w:rPr>
        <w:t xml:space="preserve">Webbasierte Interventionen für junge Beschäftigte: </w:t>
      </w:r>
      <w:r>
        <w:rPr>
          <w:rFonts w:ascii="Aptos" w:hAnsi="Aptos" w:eastAsia="Aptos"/>
          <w:color w:val="24313A"/>
          <w:sz w:val="20"/>
        </w:rPr>
        <w:t>Qualitative Forschung zur Gestaltung digitaler Angebote für Bewegung und gesunde Ernährung im Arbeitsalltag.</w:t>
      </w:r>
    </w:p>
    <w:p>
      <w:pPr>
        <w:spacing w:after="100" w:line="269" w:lineRule="auto"/>
      </w:pPr>
      <w:r>
        <w:rPr>
          <w:rFonts w:ascii="Aptos" w:hAnsi="Aptos" w:eastAsia="Aptos"/>
          <w:b/>
          <w:color w:val="17324D"/>
          <w:sz w:val="20"/>
        </w:rPr>
        <w:t xml:space="preserve">E-Sport-Projekte: </w:t>
      </w:r>
      <w:r>
        <w:rPr>
          <w:rFonts w:ascii="Aptos" w:hAnsi="Aptos" w:eastAsia="Aptos"/>
          <w:color w:val="24313A"/>
          <w:sz w:val="20"/>
        </w:rPr>
        <w:t>Erfassung von Trainingsverhalten, Stress, Schlaf, körperlicher Beanspruchung, Muskelermüdung und Präventionsbedarf.</w:t>
      </w:r>
    </w:p>
    <w:p>
      <w:pPr>
        <w:spacing w:after="100" w:line="269" w:lineRule="auto"/>
      </w:pPr>
      <w:r>
        <w:rPr>
          <w:rFonts w:ascii="Aptos" w:hAnsi="Aptos" w:eastAsia="Aptos"/>
          <w:b/>
          <w:color w:val="17324D"/>
          <w:sz w:val="20"/>
        </w:rPr>
        <w:t xml:space="preserve">Return-to-Competition und Rückentraining: </w:t>
      </w:r>
      <w:r>
        <w:rPr>
          <w:rFonts w:ascii="Aptos" w:hAnsi="Aptos" w:eastAsia="Aptos"/>
          <w:color w:val="24313A"/>
          <w:sz w:val="20"/>
        </w:rPr>
        <w:t>Projekte zur funktionellen Testung, zum Wiedereinstieg nach Verletzungen und zur Entwicklung trainingsgestützter Rückenprogramme.</w:t>
      </w:r>
    </w:p>
    <w:p>
      <w:pPr>
        <w:spacing w:after="100" w:line="269" w:lineRule="auto"/>
      </w:pPr>
      <w:r>
        <w:rPr>
          <w:rFonts w:ascii="Aptos" w:hAnsi="Aptos" w:eastAsia="Aptos"/>
          <w:b/>
          <w:color w:val="17324D"/>
          <w:sz w:val="20"/>
        </w:rPr>
        <w:t xml:space="preserve">Männergesundheit und betriebliche Prävention: </w:t>
      </w:r>
      <w:r>
        <w:rPr>
          <w:rFonts w:ascii="Aptos" w:hAnsi="Aptos" w:eastAsia="Aptos"/>
          <w:color w:val="24313A"/>
          <w:sz w:val="20"/>
        </w:rPr>
        <w:t>Transferprojekte für zielgruppenspezifische Gesundheitsförderung und Arbeitsfähigkeit.</w:t>
      </w:r>
    </w:p>
    <w:p>
      <w:pPr>
        <w:pStyle w:val="Heading2"/>
        <w:keepNext/>
        <w:spacing w:before="140" w:after="80"/>
      </w:pPr>
      <w:r>
        <w:rPr>
          <w:rFonts w:ascii="Aptos" w:hAnsi="Aptos" w:eastAsia="Aptos"/>
          <w:b/>
          <w:color w:val="1F6F78"/>
          <w:sz w:val="26"/>
        </w:rPr>
        <w:t>Charakter seiner Forschung</w:t>
      </w:r>
    </w:p>
    <w:p>
      <w:pPr>
        <w:pStyle w:val="ListBullet"/>
        <w:spacing w:after="60" w:line="264" w:lineRule="auto"/>
        <w:ind w:left="288" w:hanging="173"/>
      </w:pPr>
      <w:r>
        <w:rPr>
          <w:rFonts w:ascii="Aptos" w:hAnsi="Aptos" w:eastAsia="Aptos"/>
          <w:color w:val="24313A"/>
          <w:sz w:val="20"/>
        </w:rPr>
        <w:t>anwendungsorientiert: Die Forschung zielt häufig auf konkrete Programme, Tests und Handlungsempfehlungen;</w:t>
      </w:r>
    </w:p>
    <w:p>
      <w:pPr>
        <w:pStyle w:val="ListBullet"/>
        <w:spacing w:after="60" w:line="264" w:lineRule="auto"/>
        <w:ind w:left="288" w:hanging="173"/>
      </w:pPr>
      <w:r>
        <w:rPr>
          <w:rFonts w:ascii="Aptos" w:hAnsi="Aptos" w:eastAsia="Aptos"/>
          <w:color w:val="24313A"/>
          <w:sz w:val="20"/>
        </w:rPr>
        <w:t>interdisziplinär: Sportwissenschaft wird mit Arbeitswissenschaft, Gesundheitspsychologie, Rehabilitation, Public Health und Kommunikation verbunden;</w:t>
      </w:r>
    </w:p>
    <w:p>
      <w:pPr>
        <w:pStyle w:val="ListBullet"/>
        <w:spacing w:after="60" w:line="264" w:lineRule="auto"/>
        <w:ind w:left="288" w:hanging="173"/>
      </w:pPr>
      <w:r>
        <w:rPr>
          <w:rFonts w:ascii="Aptos" w:hAnsi="Aptos" w:eastAsia="Aptos"/>
          <w:color w:val="24313A"/>
          <w:sz w:val="20"/>
        </w:rPr>
        <w:t>zielgruppenbezogen: Beschäftigte, ältere Menschen, Menschen mit Beschwerden, Familien und E-Sportler werden getrennt betrachtet;</w:t>
      </w:r>
    </w:p>
    <w:p>
      <w:pPr>
        <w:pStyle w:val="ListBullet"/>
        <w:spacing w:after="60" w:line="264" w:lineRule="auto"/>
        <w:ind w:left="288" w:hanging="173"/>
      </w:pPr>
      <w:r>
        <w:rPr>
          <w:rFonts w:ascii="Aptos" w:hAnsi="Aptos" w:eastAsia="Aptos"/>
          <w:color w:val="24313A"/>
          <w:sz w:val="20"/>
        </w:rPr>
        <w:t>transferstark: Viele Ergebnisse werden in Lehrwerken, Berichten, Medienformaten und Ratgebern aufbereitet;</w:t>
      </w:r>
    </w:p>
    <w:p>
      <w:pPr>
        <w:pStyle w:val="ListBullet"/>
        <w:spacing w:after="60" w:line="264" w:lineRule="auto"/>
        <w:ind w:left="288" w:hanging="173"/>
      </w:pPr>
      <w:r>
        <w:rPr>
          <w:rFonts w:ascii="Aptos" w:hAnsi="Aptos" w:eastAsia="Aptos"/>
          <w:color w:val="24313A"/>
          <w:sz w:val="20"/>
        </w:rPr>
        <w:t>nicht primär molekularbiologisch: Seine akademische Hauptleistung liegt nicht in Zellbiochemie, Endokrinologie oder klinischer Stoffwechselforschung.</w:t>
      </w:r>
    </w:p>
    <w:tbl>
      <w:tblPr>
        <w:tblW w:type="auto" w:w="0"/>
        <w:jc w:val="center"/>
        <w:tblLayout w:type="fixed"/>
        <w:tblLook w:firstColumn="1" w:firstRow="1" w:lastColumn="0" w:lastRow="0" w:noHBand="0" w:noVBand="1" w:val="04A0"/>
      </w:tblPr>
      <w:tblGrid>
        <w:gridCol w:w="173"/>
        <w:gridCol w:w="9677"/>
      </w:tblGrid>
      <w:tr>
        <w:trPr>
          <w:cantSplit/>
        </w:trPr>
        <w:tc>
          <w:tcPr>
            <w:tcW w:type="dxa" w:w="4939"/>
            <w:shd w:fill="17324D"/>
            <w:tcMar>
              <w:top w:w="120" w:type="dxa"/>
              <w:start w:w="120" w:type="dxa"/>
              <w:bottom w:w="120" w:type="dxa"/>
              <w:end w:w="120" w:type="dxa"/>
            </w:tcMar>
            <w:tcBorders>
              <w:top w:val="single" w:sz="4" w:color="EEF3F7"/>
              <w:left w:val="single" w:sz="4" w:color="EEF3F7"/>
              <w:bottom w:val="single" w:sz="4" w:color="EEF3F7"/>
              <w:right w:val="single" w:sz="4" w:color="EEF3F7"/>
            </w:tcBorders>
          </w:tcPr>
          <w:p/>
        </w:tc>
        <w:tc>
          <w:tcPr>
            <w:tcW w:type="dxa" w:w="4939"/>
            <w:shd w:fill="EEF3F7"/>
            <w:tcMar>
              <w:top w:w="120" w:type="dxa"/>
              <w:start w:w="120" w:type="dxa"/>
              <w:bottom w:w="120" w:type="dxa"/>
              <w:end w:w="120" w:type="dxa"/>
            </w:tcMar>
            <w:tcBorders>
              <w:top w:val="single" w:sz="4" w:color="EEF3F7"/>
              <w:left w:val="single" w:sz="4" w:color="EEF3F7"/>
              <w:bottom w:val="single" w:sz="4" w:color="EEF3F7"/>
              <w:right w:val="single" w:sz="4" w:color="EEF3F7"/>
            </w:tcBorders>
          </w:tcPr>
          <w:p>
            <w:pPr>
              <w:spacing w:after="40"/>
            </w:pPr>
            <w:r>
              <w:rPr>
                <w:rFonts w:ascii="Aptos" w:hAnsi="Aptos" w:eastAsia="Aptos"/>
                <w:b/>
                <w:color w:val="17324D"/>
                <w:sz w:val="21"/>
              </w:rPr>
              <w:t>Wichtige Differenzierung</w:t>
            </w:r>
          </w:p>
          <w:p>
            <w:pPr>
              <w:spacing w:after="0" w:line="264" w:lineRule="auto"/>
            </w:pPr>
            <w:r>
              <w:rPr>
                <w:rFonts w:ascii="Aptos" w:hAnsi="Aptos" w:eastAsia="Aptos"/>
                <w:color w:val="24313A"/>
                <w:sz w:val="19"/>
              </w:rPr>
              <w:t>Froböse ist wissenschaftlich besonders glaubwürdig, wenn er über Bewegung, Training, Funktionsfähigkeit, Muskelgesundheit, Prävention und Rehabilitation spricht. Bei detaillierten Aussagen zu Hormonerkrankungen, Medikamenten, Diabetes oder klinischer Ernährung sollten zusätzlich medizinische Leitlinien und Fachärzte herangezogen werden.</w:t>
            </w:r>
          </w:p>
        </w:tc>
      </w:tr>
    </w:tbl>
    <w:p>
      <w:pPr>
        <w:spacing w:after="40"/>
      </w:pPr>
    </w:p>
    <w:p>
      <w:pPr>
        <w:pStyle w:val="Heading1"/>
        <w:keepNext/>
        <w:spacing w:before="200" w:after="80"/>
      </w:pPr>
      <w:r>
        <w:rPr>
          <w:rFonts w:ascii="Aptos" w:hAnsi="Aptos" w:eastAsia="Aptos"/>
          <w:b/>
          <w:color w:val="17324D"/>
          <w:sz w:val="34"/>
        </w:rPr>
        <w:t>5  Sachbuchautor und Gesundheitskommunikator</w:t>
      </w:r>
    </w:p>
    <w:p>
      <w:pPr>
        <w:spacing w:after="120" w:line="276" w:lineRule="auto"/>
      </w:pPr>
      <w:r>
        <w:rPr>
          <w:rFonts w:ascii="Aptos" w:hAnsi="Aptos" w:eastAsia="Aptos"/>
          <w:color w:val="24313A"/>
          <w:sz w:val="20"/>
        </w:rPr>
        <w:t>Neben seiner Hochschultätigkeit hat Froböse ein umfangreiches populärwissenschaftliches Werk aufgebaut. Seine Bücher verbinden meist vier Ebenen: verständliche Körperkunde, Motivation, alltagstaugliche Bewegung und einfache Ernährungs- oder Regenerationsregeln. Er schreibt häufig für Menschen in der zweiten Lebenshälfte und betont Selbstwirksamkeit statt Schonung.</w:t>
      </w:r>
    </w:p>
    <w:p>
      <w:pPr>
        <w:pStyle w:val="Heading2"/>
        <w:keepNext/>
        <w:spacing w:before="140" w:after="80"/>
      </w:pPr>
      <w:r>
        <w:rPr>
          <w:rFonts w:ascii="Aptos" w:hAnsi="Aptos" w:eastAsia="Aptos"/>
          <w:b/>
          <w:color w:val="1F6F78"/>
          <w:sz w:val="26"/>
        </w:rPr>
        <w:t>Thematische Werkgruppen</w:t>
      </w:r>
    </w:p>
    <w:p>
      <w:pPr>
        <w:spacing w:after="100"/>
      </w:pPr>
      <w:r>
        <w:rPr>
          <w:rFonts w:ascii="Aptos" w:hAnsi="Aptos" w:eastAsia="Aptos"/>
          <w:b/>
          <w:color w:val="1F6F78"/>
          <w:sz w:val="20"/>
        </w:rPr>
        <w:t>Stoffwechsel und Gewicht</w:t>
      </w:r>
      <w:r>
        <w:br/>
      </w:r>
      <w:r>
        <w:rPr>
          <w:rFonts w:ascii="Aptos" w:hAnsi="Aptos" w:eastAsia="Aptos"/>
          <w:color w:val="24313A"/>
          <w:sz w:val="19"/>
        </w:rPr>
        <w:t>Der Stoffwechsel-Kompass; 9 Regeln für einen optimalen Stoffwechsel; Stoffwechsel gezielt aktivieren; Die Anti-Bauchfett-Formel; Das Anti-Jojo-Prinzip.</w:t>
      </w:r>
    </w:p>
    <w:p>
      <w:pPr>
        <w:spacing w:after="100"/>
      </w:pPr>
      <w:r>
        <w:rPr>
          <w:rFonts w:ascii="Aptos" w:hAnsi="Aptos" w:eastAsia="Aptos"/>
          <w:b/>
          <w:color w:val="1F6F78"/>
          <w:sz w:val="20"/>
        </w:rPr>
        <w:t>Muskeln, Training und Leistungsfähigkeit</w:t>
      </w:r>
      <w:r>
        <w:br/>
      </w:r>
      <w:r>
        <w:rPr>
          <w:rFonts w:ascii="Aptos" w:hAnsi="Aptos" w:eastAsia="Aptos"/>
          <w:color w:val="24313A"/>
          <w:sz w:val="19"/>
        </w:rPr>
        <w:t>Muskeln – die Gesundmacher; Das 5×5-Prinzip; Das Fitness-Minimalprogramm; Fundamental Fitness; Leistung messen &amp; steigern; Das Muskel-Workout.</w:t>
      </w:r>
    </w:p>
    <w:p>
      <w:pPr>
        <w:spacing w:after="100"/>
      </w:pPr>
      <w:r>
        <w:rPr>
          <w:rFonts w:ascii="Aptos" w:hAnsi="Aptos" w:eastAsia="Aptos"/>
          <w:b/>
          <w:color w:val="1F6F78"/>
          <w:sz w:val="20"/>
        </w:rPr>
        <w:t>Rücken und Bewegungsapparat</w:t>
      </w:r>
      <w:r>
        <w:br/>
      </w:r>
      <w:r>
        <w:rPr>
          <w:rFonts w:ascii="Aptos" w:hAnsi="Aptos" w:eastAsia="Aptos"/>
          <w:color w:val="24313A"/>
          <w:sz w:val="19"/>
        </w:rPr>
        <w:t>Das neue Rückentraining; Rücken-Akut-Training; Rücken Express für Vielsitzer; Das neue Psoas-Training.</w:t>
      </w:r>
    </w:p>
    <w:p>
      <w:pPr>
        <w:spacing w:after="100"/>
      </w:pPr>
      <w:r>
        <w:rPr>
          <w:rFonts w:ascii="Aptos" w:hAnsi="Aptos" w:eastAsia="Aptos"/>
          <w:b/>
          <w:color w:val="1F6F78"/>
          <w:sz w:val="20"/>
        </w:rPr>
        <w:t>Gesundes Altern</w:t>
      </w:r>
      <w:r>
        <w:br/>
      </w:r>
      <w:r>
        <w:rPr>
          <w:rFonts w:ascii="Aptos" w:hAnsi="Aptos" w:eastAsia="Aptos"/>
          <w:color w:val="24313A"/>
          <w:sz w:val="19"/>
        </w:rPr>
        <w:t>Vital ab 50; Die Gesundheitsformel der 100-Jährigen; Der Männer-Gesundheitscode; Ist es wahre Leidenschaft oder nur erhöhter Blutdruck?</w:t>
      </w:r>
    </w:p>
    <w:p>
      <w:pPr>
        <w:spacing w:after="100"/>
      </w:pPr>
      <w:r>
        <w:rPr>
          <w:rFonts w:ascii="Aptos" w:hAnsi="Aptos" w:eastAsia="Aptos"/>
          <w:b/>
          <w:color w:val="1F6F78"/>
          <w:sz w:val="20"/>
        </w:rPr>
        <w:t>Regeneration und Lebensstil</w:t>
      </w:r>
      <w:r>
        <w:br/>
      </w:r>
      <w:r>
        <w:rPr>
          <w:rFonts w:ascii="Aptos" w:hAnsi="Aptos" w:eastAsia="Aptos"/>
          <w:color w:val="24313A"/>
          <w:sz w:val="19"/>
        </w:rPr>
        <w:t>Power durch Pause; Energize your life!; Fühl dich wie neugeboren!; Die Formel Froböse.</w:t>
      </w:r>
    </w:p>
    <w:p>
      <w:pPr>
        <w:spacing w:after="100"/>
      </w:pPr>
      <w:r>
        <w:rPr>
          <w:rFonts w:ascii="Aptos" w:hAnsi="Aptos" w:eastAsia="Aptos"/>
          <w:b/>
          <w:color w:val="1F6F78"/>
          <w:sz w:val="20"/>
        </w:rPr>
        <w:t>Gesellschaft und Gesundheitskompetenz</w:t>
      </w:r>
      <w:r>
        <w:br/>
      </w:r>
      <w:r>
        <w:rPr>
          <w:rFonts w:ascii="Aptos" w:hAnsi="Aptos" w:eastAsia="Aptos"/>
          <w:color w:val="24313A"/>
          <w:sz w:val="19"/>
        </w:rPr>
        <w:t>Deutschland ist krank; Bücher und Medienformate zu Prävention, Gesundheitsvorsorge und Eigenverantwortung.</w:t>
      </w:r>
    </w:p>
    <w:p>
      <w:pPr>
        <w:pStyle w:val="Heading2"/>
        <w:keepNext/>
        <w:spacing w:before="140" w:after="80"/>
      </w:pPr>
      <w:r>
        <w:rPr>
          <w:rFonts w:ascii="Aptos" w:hAnsi="Aptos" w:eastAsia="Aptos"/>
          <w:b/>
          <w:color w:val="1F6F78"/>
          <w:sz w:val="26"/>
        </w:rPr>
        <w:t>Stärken seiner Vermittlung</w:t>
      </w:r>
    </w:p>
    <w:p>
      <w:pPr>
        <w:pStyle w:val="ListBullet"/>
        <w:spacing w:after="60" w:line="264" w:lineRule="auto"/>
        <w:ind w:left="288" w:hanging="173"/>
      </w:pPr>
      <w:r>
        <w:rPr>
          <w:rFonts w:ascii="Aptos" w:hAnsi="Aptos" w:eastAsia="Aptos"/>
          <w:color w:val="24313A"/>
          <w:sz w:val="20"/>
        </w:rPr>
        <w:t>komplizierte physiologische Vorgänge werden anschaulich erklärt;</w:t>
      </w:r>
    </w:p>
    <w:p>
      <w:pPr>
        <w:pStyle w:val="ListBullet"/>
        <w:spacing w:after="60" w:line="264" w:lineRule="auto"/>
        <w:ind w:left="288" w:hanging="173"/>
      </w:pPr>
      <w:r>
        <w:rPr>
          <w:rFonts w:ascii="Aptos" w:hAnsi="Aptos" w:eastAsia="Aptos"/>
          <w:color w:val="24313A"/>
          <w:sz w:val="20"/>
        </w:rPr>
        <w:t>Bewegung wird als positive Ressource und nicht als Strafe dargestellt;</w:t>
      </w:r>
    </w:p>
    <w:p>
      <w:pPr>
        <w:pStyle w:val="ListBullet"/>
        <w:spacing w:after="60" w:line="264" w:lineRule="auto"/>
        <w:ind w:left="288" w:hanging="173"/>
      </w:pPr>
      <w:r>
        <w:rPr>
          <w:rFonts w:ascii="Aptos" w:hAnsi="Aptos" w:eastAsia="Aptos"/>
          <w:color w:val="24313A"/>
          <w:sz w:val="20"/>
        </w:rPr>
        <w:t>ältere Menschen werden zu Kraft- und Funktionstraining motiviert;</w:t>
      </w:r>
    </w:p>
    <w:p>
      <w:pPr>
        <w:pStyle w:val="ListBullet"/>
        <w:spacing w:after="60" w:line="264" w:lineRule="auto"/>
        <w:ind w:left="288" w:hanging="173"/>
      </w:pPr>
      <w:r>
        <w:rPr>
          <w:rFonts w:ascii="Aptos" w:hAnsi="Aptos" w:eastAsia="Aptos"/>
          <w:color w:val="24313A"/>
          <w:sz w:val="20"/>
        </w:rPr>
        <w:t>Ernährung, Bewegung, Schlaf und Regeneration werden zusammen gedacht;</w:t>
      </w:r>
    </w:p>
    <w:p>
      <w:pPr>
        <w:pStyle w:val="ListBullet"/>
        <w:spacing w:after="60" w:line="264" w:lineRule="auto"/>
        <w:ind w:left="288" w:hanging="173"/>
      </w:pPr>
      <w:r>
        <w:rPr>
          <w:rFonts w:ascii="Aptos" w:hAnsi="Aptos" w:eastAsia="Aptos"/>
          <w:color w:val="24313A"/>
          <w:sz w:val="20"/>
        </w:rPr>
        <w:t>viele Empfehlungen sind niedrigschwellig und auf Gewohnheitsbildung ausgerichtet.</w:t>
      </w:r>
    </w:p>
    <w:p>
      <w:pPr>
        <w:pStyle w:val="Heading2"/>
        <w:keepNext/>
        <w:spacing w:before="140" w:after="80"/>
      </w:pPr>
      <w:r>
        <w:rPr>
          <w:rFonts w:ascii="Aptos" w:hAnsi="Aptos" w:eastAsia="Aptos"/>
          <w:b/>
          <w:color w:val="1F6F78"/>
          <w:sz w:val="26"/>
        </w:rPr>
        <w:t>Typische Grenzen populärer Gesundheitsbücher</w:t>
      </w:r>
    </w:p>
    <w:p>
      <w:pPr>
        <w:pStyle w:val="ListBullet"/>
        <w:spacing w:after="60" w:line="264" w:lineRule="auto"/>
        <w:ind w:left="288" w:hanging="173"/>
      </w:pPr>
      <w:r>
        <w:rPr>
          <w:rFonts w:ascii="Aptos" w:hAnsi="Aptos" w:eastAsia="Aptos"/>
          <w:color w:val="24313A"/>
          <w:sz w:val="20"/>
        </w:rPr>
        <w:t>griffige Begriffe können biologische Zusammenhänge stärker vereinfachen als Fachtexte;</w:t>
      </w:r>
    </w:p>
    <w:p>
      <w:pPr>
        <w:pStyle w:val="ListBullet"/>
        <w:spacing w:after="60" w:line="264" w:lineRule="auto"/>
        <w:ind w:left="288" w:hanging="173"/>
      </w:pPr>
      <w:r>
        <w:rPr>
          <w:rFonts w:ascii="Aptos" w:hAnsi="Aptos" w:eastAsia="Aptos"/>
          <w:color w:val="24313A"/>
          <w:sz w:val="20"/>
        </w:rPr>
        <w:t>individuelle Erkrankungen, Medikamente und Kontraindikationen lassen sich in einem allgemeinen Ratgeber nur begrenzt berücksichtigen;</w:t>
      </w:r>
    </w:p>
    <w:p>
      <w:pPr>
        <w:pStyle w:val="ListBullet"/>
        <w:spacing w:after="60" w:line="264" w:lineRule="auto"/>
        <w:ind w:left="288" w:hanging="173"/>
      </w:pPr>
      <w:r>
        <w:rPr>
          <w:rFonts w:ascii="Aptos" w:hAnsi="Aptos" w:eastAsia="Aptos"/>
          <w:color w:val="24313A"/>
          <w:sz w:val="20"/>
        </w:rPr>
        <w:t>eine plausible Erklärung ist nicht automatisch ein klinischer Wirksamkeitsnachweis;</w:t>
      </w:r>
    </w:p>
    <w:p>
      <w:pPr>
        <w:pStyle w:val="ListBullet"/>
        <w:spacing w:after="60" w:line="264" w:lineRule="auto"/>
        <w:ind w:left="288" w:hanging="173"/>
      </w:pPr>
      <w:r>
        <w:rPr>
          <w:rFonts w:ascii="Aptos" w:hAnsi="Aptos" w:eastAsia="Aptos"/>
          <w:color w:val="24313A"/>
          <w:sz w:val="20"/>
        </w:rPr>
        <w:t>ein Bestsellerstatus ist kein Ersatz für systematische Evidenzbewertung.</w:t>
      </w:r>
    </w:p>
    <w:p>
      <w:pPr>
        <w:pStyle w:val="Heading1"/>
        <w:keepNext/>
        <w:spacing w:before="200" w:after="80"/>
      </w:pPr>
      <w:r>
        <w:rPr>
          <w:rFonts w:ascii="Aptos" w:hAnsi="Aptos" w:eastAsia="Aptos"/>
          <w:b/>
          <w:color w:val="17324D"/>
          <w:sz w:val="34"/>
        </w:rPr>
        <w:t>6  Analyse: „Der Stoffwechsel-Kompass“</w:t>
      </w:r>
    </w:p>
    <w:tbl>
      <w:tblPr>
        <w:tblW w:type="auto" w:w="0"/>
        <w:jc w:val="center"/>
        <w:tblLayout w:type="fixed"/>
        <w:tblLook w:firstColumn="1" w:firstRow="1" w:lastColumn="0" w:lastRow="0" w:noHBand="0" w:noVBand="1" w:val="04A0"/>
      </w:tblPr>
      <w:tblGrid>
        <w:gridCol w:w="2880"/>
        <w:gridCol w:w="6984"/>
      </w:tblGrid>
      <w:tr>
        <w:trPr>
          <w:cantSplit/>
        </w:trPr>
        <w:tc>
          <w:tcPr>
            <w:tcW w:type="dxa" w:w="4939"/>
            <w:shd w:fill="17324D"/>
            <w:tcMar>
              <w:top w:w="180" w:type="dxa"/>
              <w:start w:w="160" w:type="dxa"/>
              <w:bottom w:w="180" w:type="dxa"/>
              <w:end w:w="160" w:type="dxa"/>
            </w:tcMar>
          </w:tcPr>
          <w:p>
            <w:r>
              <w:rPr>
                <w:rFonts w:ascii="Aptos" w:hAnsi="Aptos" w:eastAsia="Aptos"/>
                <w:b/>
                <w:color w:val="C79A3B"/>
                <w:sz w:val="20"/>
              </w:rPr>
              <w:t>BUCHPROFIL</w:t>
            </w:r>
          </w:p>
          <w:p>
            <w:r>
              <w:rPr>
                <w:rFonts w:ascii="Aptos" w:hAnsi="Aptos" w:eastAsia="Aptos"/>
                <w:b/>
                <w:color w:val="FFFFFF"/>
                <w:sz w:val="34"/>
              </w:rPr>
              <w:t>Der Stoffwechsel-</w:t>
              <w:br/>
              <w:t>Kompass</w:t>
            </w:r>
          </w:p>
        </w:tc>
        <w:tc>
          <w:tcPr>
            <w:tcW w:type="dxa" w:w="4939"/>
            <w:shd w:fill="EEF3F7"/>
            <w:tcMar>
              <w:top w:w="180" w:type="dxa"/>
              <w:start w:w="160" w:type="dxa"/>
              <w:bottom w:w="180" w:type="dxa"/>
              <w:end w:w="160" w:type="dxa"/>
            </w:tcMar>
          </w:tcPr>
          <w:p>
            <w:r>
              <w:rPr>
                <w:rFonts w:ascii="Aptos" w:hAnsi="Aptos" w:eastAsia="Aptos"/>
                <w:b/>
                <w:color w:val="1F6F78"/>
                <w:sz w:val="18"/>
              </w:rPr>
              <w:t>Untertitel</w:t>
            </w:r>
          </w:p>
          <w:p>
            <w:r>
              <w:rPr>
                <w:rFonts w:ascii="Aptos" w:hAnsi="Aptos" w:eastAsia="Aptos"/>
                <w:b/>
                <w:color w:val="17324D"/>
                <w:sz w:val="20"/>
              </w:rPr>
              <w:t>Was uns in der zweiten Lebenshälfte fit, schlank und wach hält</w:t>
            </w:r>
          </w:p>
          <w:p>
            <w:pPr>
              <w:spacing w:after="40"/>
            </w:pPr>
            <w:r>
              <w:rPr>
                <w:rFonts w:ascii="Aptos" w:hAnsi="Aptos" w:eastAsia="Aptos"/>
                <w:b/>
                <w:color w:val="1F6F78"/>
                <w:sz w:val="18"/>
              </w:rPr>
              <w:t xml:space="preserve">Erstausgabe: </w:t>
            </w:r>
            <w:r>
              <w:rPr>
                <w:rFonts w:ascii="Aptos" w:hAnsi="Aptos" w:eastAsia="Aptos"/>
                <w:color w:val="24313A"/>
                <w:sz w:val="18"/>
              </w:rPr>
              <w:t>Ullstein Extra, 2022</w:t>
            </w:r>
          </w:p>
          <w:p>
            <w:pPr>
              <w:spacing w:after="40"/>
            </w:pPr>
            <w:r>
              <w:rPr>
                <w:rFonts w:ascii="Aptos" w:hAnsi="Aptos" w:eastAsia="Aptos"/>
                <w:b/>
                <w:color w:val="1F6F78"/>
                <w:sz w:val="18"/>
              </w:rPr>
              <w:t xml:space="preserve">Taschenbuch: </w:t>
            </w:r>
            <w:r>
              <w:rPr>
                <w:rFonts w:ascii="Aptos" w:hAnsi="Aptos" w:eastAsia="Aptos"/>
                <w:color w:val="24313A"/>
                <w:sz w:val="18"/>
              </w:rPr>
              <w:t>Ullstein Taschenbuch, 11. Januar 2024</w:t>
            </w:r>
          </w:p>
          <w:p>
            <w:pPr>
              <w:spacing w:after="40"/>
            </w:pPr>
            <w:r>
              <w:rPr>
                <w:rFonts w:ascii="Aptos" w:hAnsi="Aptos" w:eastAsia="Aptos"/>
                <w:b/>
                <w:color w:val="1F6F78"/>
                <w:sz w:val="18"/>
              </w:rPr>
              <w:t xml:space="preserve">Umfang: </w:t>
            </w:r>
            <w:r>
              <w:rPr>
                <w:rFonts w:ascii="Aptos" w:hAnsi="Aptos" w:eastAsia="Aptos"/>
                <w:color w:val="24313A"/>
                <w:sz w:val="18"/>
              </w:rPr>
              <w:t>304 Seiten</w:t>
            </w:r>
          </w:p>
          <w:p>
            <w:pPr>
              <w:spacing w:after="40"/>
            </w:pPr>
            <w:r>
              <w:rPr>
                <w:rFonts w:ascii="Aptos" w:hAnsi="Aptos" w:eastAsia="Aptos"/>
                <w:b/>
                <w:color w:val="1F6F78"/>
                <w:sz w:val="18"/>
              </w:rPr>
              <w:t xml:space="preserve">ISBN Taschenbuch: </w:t>
            </w:r>
            <w:r>
              <w:rPr>
                <w:rFonts w:ascii="Aptos" w:hAnsi="Aptos" w:eastAsia="Aptos"/>
                <w:color w:val="24313A"/>
                <w:sz w:val="18"/>
              </w:rPr>
              <w:t>978-3-548-06699-8</w:t>
            </w:r>
          </w:p>
          <w:p>
            <w:pPr>
              <w:spacing w:after="40"/>
            </w:pPr>
            <w:r>
              <w:rPr>
                <w:rFonts w:ascii="Aptos" w:hAnsi="Aptos" w:eastAsia="Aptos"/>
                <w:b/>
                <w:color w:val="1F6F78"/>
                <w:sz w:val="18"/>
              </w:rPr>
              <w:t xml:space="preserve">Zielgruppe: </w:t>
            </w:r>
            <w:r>
              <w:rPr>
                <w:rFonts w:ascii="Aptos" w:hAnsi="Aptos" w:eastAsia="Aptos"/>
                <w:color w:val="24313A"/>
                <w:sz w:val="18"/>
              </w:rPr>
              <w:t>vor allem Erwachsene in der zweiten Lebenshälfte</w:t>
            </w:r>
          </w:p>
        </w:tc>
      </w:tr>
    </w:tbl>
    <w:p>
      <w:pPr>
        <w:pStyle w:val="Heading2"/>
        <w:keepNext/>
        <w:spacing w:before="140" w:after="80"/>
      </w:pPr>
      <w:r>
        <w:rPr>
          <w:rFonts w:ascii="Aptos" w:hAnsi="Aptos" w:eastAsia="Aptos"/>
          <w:b/>
          <w:color w:val="1F6F78"/>
          <w:sz w:val="26"/>
        </w:rPr>
        <w:t>6.1 Ziel und Grundidee</w:t>
      </w:r>
    </w:p>
    <w:p>
      <w:pPr>
        <w:spacing w:after="120" w:line="276" w:lineRule="auto"/>
      </w:pPr>
      <w:r>
        <w:rPr>
          <w:rFonts w:ascii="Aptos" w:hAnsi="Aptos" w:eastAsia="Aptos"/>
          <w:color w:val="24313A"/>
          <w:sz w:val="20"/>
        </w:rPr>
        <w:t>Das Buch will den Stoffwechsel als Gesamtsystem verständlich machen. Es beschränkt den Begriff nicht auf Verdauung oder Kalorienverbrauch, sondern beschreibt Aufnahme, Transport, Umwandlung, Speicherung und Nutzung von Nährstoffen sowie die Regulation durch Organe, Hormone, Enzyme, Nervensystem, Muskulatur und Zellkraftwerke. Der Verlag positioniert es als Standardwerk für gesundes Altern; wissenschaftlich angemessener ist die Bezeichnung „umfangreicher populärwissenschaftlicher Überblick“.</w:t>
      </w:r>
      <w:r>
        <w:rPr>
          <w:rFonts w:ascii="Aptos" w:hAnsi="Aptos" w:eastAsia="Aptos"/>
          <w:color w:val="1F6F78"/>
          <w:sz w:val="16"/>
          <w:vertAlign w:val="superscript"/>
        </w:rPr>
        <w:t xml:space="preserve"> [5]</w:t>
      </w:r>
      <w:r>
        <w:rPr>
          <w:rFonts w:ascii="Aptos" w:hAnsi="Aptos" w:eastAsia="Aptos"/>
          <w:color w:val="1F6F78"/>
          <w:sz w:val="16"/>
          <w:vertAlign w:val="superscript"/>
        </w:rPr>
        <w:t xml:space="preserve"> [6]</w:t>
      </w:r>
    </w:p>
    <w:p>
      <w:pPr>
        <w:pStyle w:val="Heading2"/>
        <w:keepNext/>
        <w:spacing w:before="140" w:after="80"/>
      </w:pPr>
      <w:r>
        <w:rPr>
          <w:rFonts w:ascii="Aptos" w:hAnsi="Aptos" w:eastAsia="Aptos"/>
          <w:b/>
          <w:color w:val="1F6F78"/>
          <w:sz w:val="26"/>
        </w:rPr>
        <w:t>6.2 Inhaltliche Themenfelder</w:t>
      </w:r>
    </w:p>
    <w:p>
      <w:pPr>
        <w:pStyle w:val="ListBullet"/>
        <w:spacing w:after="60" w:line="264" w:lineRule="auto"/>
        <w:ind w:left="288" w:hanging="173"/>
      </w:pPr>
      <w:r>
        <w:rPr>
          <w:rFonts w:ascii="Aptos" w:hAnsi="Aptos" w:eastAsia="Aptos"/>
          <w:color w:val="24313A"/>
          <w:sz w:val="20"/>
        </w:rPr>
        <w:t>Verdauung und Umwandlung von Nahrung in verfügbare Nährstoffe;</w:t>
      </w:r>
    </w:p>
    <w:p>
      <w:pPr>
        <w:pStyle w:val="ListBullet"/>
        <w:spacing w:after="60" w:line="264" w:lineRule="auto"/>
        <w:ind w:left="288" w:hanging="173"/>
      </w:pPr>
      <w:r>
        <w:rPr>
          <w:rFonts w:ascii="Aptos" w:hAnsi="Aptos" w:eastAsia="Aptos"/>
          <w:color w:val="24313A"/>
          <w:sz w:val="20"/>
        </w:rPr>
        <w:t>Kreislauf, Lymphe, Mikrozirkulation und Transportprozesse;</w:t>
      </w:r>
    </w:p>
    <w:p>
      <w:pPr>
        <w:pStyle w:val="ListBullet"/>
        <w:spacing w:after="60" w:line="264" w:lineRule="auto"/>
        <w:ind w:left="288" w:hanging="173"/>
      </w:pPr>
      <w:r>
        <w:rPr>
          <w:rFonts w:ascii="Aptos" w:hAnsi="Aptos" w:eastAsia="Aptos"/>
          <w:color w:val="24313A"/>
          <w:sz w:val="20"/>
        </w:rPr>
        <w:t>Hormone, Schilddrüse, Insulin, Nebennieren, Enzyme und Coenzyme;</w:t>
      </w:r>
    </w:p>
    <w:p>
      <w:pPr>
        <w:pStyle w:val="ListBullet"/>
        <w:spacing w:after="60" w:line="264" w:lineRule="auto"/>
        <w:ind w:left="288" w:hanging="173"/>
      </w:pPr>
      <w:r>
        <w:rPr>
          <w:rFonts w:ascii="Aptos" w:hAnsi="Aptos" w:eastAsia="Aptos"/>
          <w:color w:val="24313A"/>
          <w:sz w:val="20"/>
        </w:rPr>
        <w:t>Zellstoffwechsel, Mitochondrien, ATP, Autophagie und Apoptose;</w:t>
      </w:r>
    </w:p>
    <w:p>
      <w:pPr>
        <w:pStyle w:val="ListBullet"/>
        <w:spacing w:after="60" w:line="264" w:lineRule="auto"/>
        <w:ind w:left="288" w:hanging="173"/>
      </w:pPr>
      <w:r>
        <w:rPr>
          <w:rFonts w:ascii="Aptos" w:hAnsi="Aptos" w:eastAsia="Aptos"/>
          <w:color w:val="24313A"/>
          <w:sz w:val="20"/>
        </w:rPr>
        <w:t>Kohlenhydrat-, Fett- und Eiweißstoffwechsel;</w:t>
      </w:r>
    </w:p>
    <w:p>
      <w:pPr>
        <w:pStyle w:val="ListBullet"/>
        <w:spacing w:after="60" w:line="264" w:lineRule="auto"/>
        <w:ind w:left="288" w:hanging="173"/>
      </w:pPr>
      <w:r>
        <w:rPr>
          <w:rFonts w:ascii="Aptos" w:hAnsi="Aptos" w:eastAsia="Aptos"/>
          <w:color w:val="24313A"/>
          <w:sz w:val="20"/>
        </w:rPr>
        <w:t>Grundumsatz, Gesamtenergieverbrauch und körperliche Aktivität;</w:t>
      </w:r>
    </w:p>
    <w:p>
      <w:pPr>
        <w:pStyle w:val="ListBullet"/>
        <w:spacing w:after="60" w:line="264" w:lineRule="auto"/>
        <w:ind w:left="288" w:hanging="173"/>
      </w:pPr>
      <w:r>
        <w:rPr>
          <w:rFonts w:ascii="Aptos" w:hAnsi="Aptos" w:eastAsia="Aptos"/>
          <w:color w:val="24313A"/>
          <w:sz w:val="20"/>
        </w:rPr>
        <w:t>Muskelmasse, Sarkopenie und funktionelle Alterungsprozesse;</w:t>
      </w:r>
    </w:p>
    <w:p>
      <w:pPr>
        <w:pStyle w:val="ListBullet"/>
        <w:spacing w:after="60" w:line="264" w:lineRule="auto"/>
        <w:ind w:left="288" w:hanging="173"/>
      </w:pPr>
      <w:r>
        <w:rPr>
          <w:rFonts w:ascii="Aptos" w:hAnsi="Aptos" w:eastAsia="Aptos"/>
          <w:color w:val="24313A"/>
          <w:sz w:val="20"/>
        </w:rPr>
        <w:t>Veränderungen von Gehirn, Herz, Atmung, Immunsystem, Nieren, Verdauung und Hormonhaushalt;</w:t>
      </w:r>
    </w:p>
    <w:p>
      <w:pPr>
        <w:pStyle w:val="ListBullet"/>
        <w:spacing w:after="60" w:line="264" w:lineRule="auto"/>
        <w:ind w:left="288" w:hanging="173"/>
      </w:pPr>
      <w:r>
        <w:rPr>
          <w:rFonts w:ascii="Aptos" w:hAnsi="Aptos" w:eastAsia="Aptos"/>
          <w:color w:val="24313A"/>
          <w:sz w:val="20"/>
        </w:rPr>
        <w:t>Medikamente, Lebensstil und individuelle Unterschiede in der zweiten Lebenshälfte.</w:t>
      </w:r>
    </w:p>
    <w:p>
      <w:pPr>
        <w:pStyle w:val="Heading2"/>
        <w:keepNext/>
        <w:spacing w:before="140" w:after="80"/>
      </w:pPr>
      <w:r>
        <w:rPr>
          <w:rFonts w:ascii="Aptos" w:hAnsi="Aptos" w:eastAsia="Aptos"/>
          <w:b/>
          <w:color w:val="1F6F78"/>
          <w:sz w:val="26"/>
        </w:rPr>
        <w:t>6.3 Zentrale Botschaften</w:t>
      </w:r>
    </w:p>
    <w:p>
      <w:pPr>
        <w:pStyle w:val="ListBullet"/>
        <w:spacing w:after="60" w:line="264" w:lineRule="auto"/>
        <w:ind w:left="288" w:hanging="173"/>
      </w:pPr>
      <w:r>
        <w:rPr>
          <w:rFonts w:ascii="Aptos" w:hAnsi="Aptos" w:eastAsia="Aptos"/>
          <w:color w:val="24313A"/>
          <w:sz w:val="20"/>
        </w:rPr>
        <w:t>Der Stoffwechsel ist veränderbar, aber nicht beliebig steuerbar.</w:t>
      </w:r>
    </w:p>
    <w:p>
      <w:pPr>
        <w:pStyle w:val="ListBullet"/>
        <w:spacing w:after="60" w:line="264" w:lineRule="auto"/>
        <w:ind w:left="288" w:hanging="173"/>
      </w:pPr>
      <w:r>
        <w:rPr>
          <w:rFonts w:ascii="Aptos" w:hAnsi="Aptos" w:eastAsia="Aptos"/>
          <w:color w:val="24313A"/>
          <w:sz w:val="20"/>
        </w:rPr>
        <w:t>Muskulatur ist ein zentraler Ort der Glukoseaufnahme, Energieumsetzung und Signalbildung.</w:t>
      </w:r>
    </w:p>
    <w:p>
      <w:pPr>
        <w:pStyle w:val="ListBullet"/>
        <w:spacing w:after="60" w:line="264" w:lineRule="auto"/>
        <w:ind w:left="288" w:hanging="173"/>
      </w:pPr>
      <w:r>
        <w:rPr>
          <w:rFonts w:ascii="Aptos" w:hAnsi="Aptos" w:eastAsia="Aptos"/>
          <w:color w:val="24313A"/>
          <w:sz w:val="20"/>
        </w:rPr>
        <w:t>Regelmäßige Bewegung ist wichtiger als seltene intensive Aktionen.</w:t>
      </w:r>
    </w:p>
    <w:p>
      <w:pPr>
        <w:pStyle w:val="ListBullet"/>
        <w:spacing w:after="60" w:line="264" w:lineRule="auto"/>
        <w:ind w:left="288" w:hanging="173"/>
      </w:pPr>
      <w:r>
        <w:rPr>
          <w:rFonts w:ascii="Aptos" w:hAnsi="Aptos" w:eastAsia="Aptos"/>
          <w:color w:val="24313A"/>
          <w:sz w:val="20"/>
        </w:rPr>
        <w:t>Kraft- und Ausdauertraining erfüllen unterschiedliche, sich ergänzende Aufgaben.</w:t>
      </w:r>
    </w:p>
    <w:p>
      <w:pPr>
        <w:pStyle w:val="ListBullet"/>
        <w:spacing w:after="60" w:line="264" w:lineRule="auto"/>
        <w:ind w:left="288" w:hanging="173"/>
      </w:pPr>
      <w:r>
        <w:rPr>
          <w:rFonts w:ascii="Aptos" w:hAnsi="Aptos" w:eastAsia="Aptos"/>
          <w:color w:val="24313A"/>
          <w:sz w:val="20"/>
        </w:rPr>
        <w:t>Eine bedarfsgerechte Eiweißzufuhr gewinnt mit zunehmendem Alter an Bedeutung.</w:t>
      </w:r>
    </w:p>
    <w:p>
      <w:pPr>
        <w:pStyle w:val="ListBullet"/>
        <w:spacing w:after="60" w:line="264" w:lineRule="auto"/>
        <w:ind w:left="288" w:hanging="173"/>
      </w:pPr>
      <w:r>
        <w:rPr>
          <w:rFonts w:ascii="Aptos" w:hAnsi="Aptos" w:eastAsia="Aptos"/>
          <w:color w:val="24313A"/>
          <w:sz w:val="20"/>
        </w:rPr>
        <w:t>Schlaf und Regeneration beeinflussen Appetit, Leistungsfähigkeit und Trainingsanpassung.</w:t>
      </w:r>
    </w:p>
    <w:p>
      <w:pPr>
        <w:pStyle w:val="ListBullet"/>
        <w:spacing w:after="60" w:line="264" w:lineRule="auto"/>
        <w:ind w:left="288" w:hanging="173"/>
      </w:pPr>
      <w:r>
        <w:rPr>
          <w:rFonts w:ascii="Aptos" w:hAnsi="Aptos" w:eastAsia="Aptos"/>
          <w:color w:val="24313A"/>
          <w:sz w:val="20"/>
        </w:rPr>
        <w:t>Bauchfett und Bewegungsmangel erhöhen metabolische Risiken.</w:t>
      </w:r>
    </w:p>
    <w:p>
      <w:pPr>
        <w:pStyle w:val="ListBullet"/>
        <w:spacing w:after="60" w:line="264" w:lineRule="auto"/>
        <w:ind w:left="288" w:hanging="173"/>
      </w:pPr>
      <w:r>
        <w:rPr>
          <w:rFonts w:ascii="Aptos" w:hAnsi="Aptos" w:eastAsia="Aptos"/>
          <w:color w:val="24313A"/>
          <w:sz w:val="20"/>
        </w:rPr>
        <w:t>Langfristige Gewohnheiten sind wirksamer als kurzfristige „Stoffwechselkuren“.</w:t>
      </w:r>
    </w:p>
    <w:p>
      <w:pPr>
        <w:pStyle w:val="Heading2"/>
        <w:keepNext/>
        <w:spacing w:before="140" w:after="80"/>
      </w:pPr>
      <w:r>
        <w:rPr>
          <w:rFonts w:ascii="Aptos" w:hAnsi="Aptos" w:eastAsia="Aptos"/>
          <w:b/>
          <w:color w:val="1F6F78"/>
          <w:sz w:val="26"/>
        </w:rPr>
        <w:t>6.4 Was das Buch besonders gut leistet</w:t>
      </w:r>
    </w:p>
    <w:p>
      <w:pPr>
        <w:pStyle w:val="ListBullet"/>
        <w:spacing w:after="60" w:line="264" w:lineRule="auto"/>
        <w:ind w:left="288" w:hanging="173"/>
      </w:pPr>
      <w:r>
        <w:rPr>
          <w:rFonts w:ascii="Aptos" w:hAnsi="Aptos" w:eastAsia="Aptos"/>
          <w:color w:val="24313A"/>
          <w:sz w:val="20"/>
        </w:rPr>
        <w:t>Es zeigt, dass Stoffwechsel weit mehr ist als Abnehmen.</w:t>
      </w:r>
    </w:p>
    <w:p>
      <w:pPr>
        <w:pStyle w:val="ListBullet"/>
        <w:spacing w:after="60" w:line="264" w:lineRule="auto"/>
        <w:ind w:left="288" w:hanging="173"/>
      </w:pPr>
      <w:r>
        <w:rPr>
          <w:rFonts w:ascii="Aptos" w:hAnsi="Aptos" w:eastAsia="Aptos"/>
          <w:color w:val="24313A"/>
          <w:sz w:val="20"/>
        </w:rPr>
        <w:t>Es verbindet Organfunktionen mit Muskelaktivität und Lebensstil.</w:t>
      </w:r>
    </w:p>
    <w:p>
      <w:pPr>
        <w:pStyle w:val="ListBullet"/>
        <w:spacing w:after="60" w:line="264" w:lineRule="auto"/>
        <w:ind w:left="288" w:hanging="173"/>
      </w:pPr>
      <w:r>
        <w:rPr>
          <w:rFonts w:ascii="Aptos" w:hAnsi="Aptos" w:eastAsia="Aptos"/>
          <w:color w:val="24313A"/>
          <w:sz w:val="20"/>
        </w:rPr>
        <w:t>Es vermittelt älteren Leserinnen und Lesern, dass Training weiterhin Anpassungen auslösen kann.</w:t>
      </w:r>
    </w:p>
    <w:p>
      <w:pPr>
        <w:pStyle w:val="ListBullet"/>
        <w:spacing w:after="60" w:line="264" w:lineRule="auto"/>
        <w:ind w:left="288" w:hanging="173"/>
      </w:pPr>
      <w:r>
        <w:rPr>
          <w:rFonts w:ascii="Aptos" w:hAnsi="Aptos" w:eastAsia="Aptos"/>
          <w:color w:val="24313A"/>
          <w:sz w:val="20"/>
        </w:rPr>
        <w:t>Es stärkt die Bedeutung von Kraft, Alltagsaktivität und Regeneration.</w:t>
      </w:r>
    </w:p>
    <w:p>
      <w:pPr>
        <w:pStyle w:val="ListBullet"/>
        <w:spacing w:after="60" w:line="264" w:lineRule="auto"/>
        <w:ind w:left="288" w:hanging="173"/>
      </w:pPr>
      <w:r>
        <w:rPr>
          <w:rFonts w:ascii="Aptos" w:hAnsi="Aptos" w:eastAsia="Aptos"/>
          <w:color w:val="24313A"/>
          <w:sz w:val="20"/>
        </w:rPr>
        <w:t>Es bietet ein zusammenhängendes Vokabular für Gespräche mit Ärzten, Therapeuten und Trainern.</w:t>
      </w:r>
    </w:p>
    <w:p>
      <w:pPr>
        <w:pStyle w:val="Heading2"/>
        <w:keepNext/>
        <w:spacing w:before="140" w:after="80"/>
      </w:pPr>
      <w:r>
        <w:rPr>
          <w:rFonts w:ascii="Aptos" w:hAnsi="Aptos" w:eastAsia="Aptos"/>
          <w:b/>
          <w:color w:val="1F6F78"/>
          <w:sz w:val="26"/>
        </w:rPr>
        <w:t>6.5 Wo Leser genau hinschauen sollten</w:t>
      </w:r>
    </w:p>
    <w:p>
      <w:pPr>
        <w:pStyle w:val="ListBullet"/>
        <w:spacing w:after="60" w:line="264" w:lineRule="auto"/>
        <w:ind w:left="288" w:hanging="173"/>
      </w:pPr>
      <w:r>
        <w:rPr>
          <w:rFonts w:ascii="Aptos" w:hAnsi="Aptos" w:eastAsia="Aptos"/>
          <w:color w:val="24313A"/>
          <w:sz w:val="20"/>
        </w:rPr>
        <w:t>„Stoffwechsel ankurbeln“ ist kein präziser medizinischer Begriff. Der Energieverbrauch kann durch Aktivität und Muskelaufbau beeinflusst werden, aber nicht dauerhaft beliebig beschleunigt werden.</w:t>
      </w:r>
    </w:p>
    <w:p>
      <w:pPr>
        <w:pStyle w:val="ListBullet"/>
        <w:spacing w:after="60" w:line="264" w:lineRule="auto"/>
        <w:ind w:left="288" w:hanging="173"/>
      </w:pPr>
      <w:r>
        <w:rPr>
          <w:rFonts w:ascii="Aptos" w:hAnsi="Aptos" w:eastAsia="Aptos"/>
          <w:color w:val="24313A"/>
          <w:sz w:val="20"/>
        </w:rPr>
        <w:t>Das Buch behandelt hormonelle und organische Themen. Symptome wie Müdigkeit, Gewichtsveränderung oder Muskelverlust können Krankheiten anzeigen und sollten nicht nur als Lifestyleproblem gedeutet werden.</w:t>
      </w:r>
    </w:p>
    <w:p>
      <w:pPr>
        <w:pStyle w:val="ListBullet"/>
        <w:spacing w:after="60" w:line="264" w:lineRule="auto"/>
        <w:ind w:left="288" w:hanging="173"/>
      </w:pPr>
      <w:r>
        <w:rPr>
          <w:rFonts w:ascii="Aptos" w:hAnsi="Aptos" w:eastAsia="Aptos"/>
          <w:color w:val="24313A"/>
          <w:sz w:val="20"/>
        </w:rPr>
        <w:t>Autophagie, Myokine oder Mitochondrien sind reale Forschungsfelder; daraus folgt nicht, dass eine einzelne Routine automatisch „verjüngt“ oder Krankheiten heilt.</w:t>
      </w:r>
    </w:p>
    <w:p>
      <w:pPr>
        <w:pStyle w:val="ListBullet"/>
        <w:spacing w:after="60" w:line="264" w:lineRule="auto"/>
        <w:ind w:left="288" w:hanging="173"/>
      </w:pPr>
      <w:r>
        <w:rPr>
          <w:rFonts w:ascii="Aptos" w:hAnsi="Aptos" w:eastAsia="Aptos"/>
          <w:color w:val="24313A"/>
          <w:sz w:val="20"/>
        </w:rPr>
        <w:t>Allgemeine Protein- und Trainingsregeln müssen bei Nieren-, Herz-, Leber- oder Stoffwechselerkrankungen individuell angepasst werden.</w:t>
      </w:r>
    </w:p>
    <w:p>
      <w:pPr>
        <w:pStyle w:val="ListBullet"/>
        <w:spacing w:after="60" w:line="264" w:lineRule="auto"/>
        <w:ind w:left="288" w:hanging="173"/>
      </w:pPr>
      <w:r>
        <w:rPr>
          <w:rFonts w:ascii="Aptos" w:hAnsi="Aptos" w:eastAsia="Aptos"/>
          <w:color w:val="24313A"/>
          <w:sz w:val="20"/>
        </w:rPr>
        <w:t>Die Wirkung einer Maßnahme auf Laborwerte oder Signalwege ist nicht dasselbe wie ein nachgewiesener Nutzen auf Lebensdauer, Erkrankungsrisiko oder Lebensqualität.</w:t>
      </w:r>
    </w:p>
    <w:p>
      <w:pPr>
        <w:pStyle w:val="Heading1"/>
        <w:keepNext/>
        <w:spacing w:before="200" w:after="80"/>
      </w:pPr>
      <w:r>
        <w:rPr>
          <w:rFonts w:ascii="Aptos" w:hAnsi="Aptos" w:eastAsia="Aptos"/>
          <w:b/>
          <w:color w:val="17324D"/>
          <w:sz w:val="34"/>
        </w:rPr>
        <w:t>7  Wissenschaftliche Einordnung der Kernaussagen</w:t>
      </w:r>
    </w:p>
    <w:p>
      <w:pPr>
        <w:spacing w:after="120" w:line="276" w:lineRule="auto"/>
      </w:pPr>
      <w:r>
        <w:rPr>
          <w:rFonts w:ascii="Aptos" w:hAnsi="Aptos" w:eastAsia="Aptos"/>
          <w:color w:val="24313A"/>
          <w:sz w:val="20"/>
        </w:rPr>
        <w:t>Die folgende Bewertung vergleicht zentrale Botschaften des Buches mit internationalen Leitlinien und großen Forschungsarbeiten. Sie bewertet nicht jeden einzelnen Satz, sondern die tragenden gesundheitsbezogenen Aussagen.</w:t>
      </w:r>
    </w:p>
    <w:tbl>
      <w:tblPr>
        <w:tblW w:type="auto" w:w="0"/>
        <w:jc w:val="center"/>
        <w:tblLayout w:type="fixed"/>
        <w:tblLook w:firstColumn="1" w:firstRow="1" w:lastColumn="0" w:lastRow="0" w:noHBand="0" w:noVBand="1" w:val="04A0"/>
      </w:tblPr>
      <w:tblGrid>
        <w:gridCol w:w="2880"/>
        <w:gridCol w:w="1800"/>
        <w:gridCol w:w="3816"/>
        <w:gridCol w:w="1368"/>
      </w:tblGrid>
      <w:tr>
        <w:trPr>
          <w:tblHeader w:val="true"/>
          <w:cantSplit/>
        </w:trPr>
        <w:tc>
          <w:tcPr>
            <w:tcW w:type="dxa" w:w="2469"/>
            <w:shd w:fill="17324D"/>
            <w:tcMar>
              <w:top w:w="90" w:type="dxa"/>
              <w:start w:w="80" w:type="dxa"/>
              <w:bottom w:w="90" w:type="dxa"/>
              <w:end w:w="80" w:type="dxa"/>
            </w:tcMar>
          </w:tcPr>
          <w:p>
            <w:r>
              <w:rPr>
                <w:rFonts w:ascii="Aptos" w:hAnsi="Aptos" w:eastAsia="Aptos"/>
                <w:b/>
                <w:color w:val="FFFFFF"/>
                <w:sz w:val="17"/>
              </w:rPr>
              <w:t>Aussage</w:t>
            </w:r>
          </w:p>
        </w:tc>
        <w:tc>
          <w:tcPr>
            <w:tcW w:type="dxa" w:w="2469"/>
            <w:shd w:fill="17324D"/>
            <w:tcMar>
              <w:top w:w="90" w:type="dxa"/>
              <w:start w:w="80" w:type="dxa"/>
              <w:bottom w:w="90" w:type="dxa"/>
              <w:end w:w="80" w:type="dxa"/>
            </w:tcMar>
          </w:tcPr>
          <w:p>
            <w:r>
              <w:rPr>
                <w:rFonts w:ascii="Aptos" w:hAnsi="Aptos" w:eastAsia="Aptos"/>
                <w:b/>
                <w:color w:val="FFFFFF"/>
                <w:sz w:val="17"/>
              </w:rPr>
              <w:t>Evidenz</w:t>
            </w:r>
          </w:p>
        </w:tc>
        <w:tc>
          <w:tcPr>
            <w:tcW w:type="dxa" w:w="2469"/>
            <w:shd w:fill="17324D"/>
            <w:tcMar>
              <w:top w:w="90" w:type="dxa"/>
              <w:start w:w="80" w:type="dxa"/>
              <w:bottom w:w="90" w:type="dxa"/>
              <w:end w:w="80" w:type="dxa"/>
            </w:tcMar>
          </w:tcPr>
          <w:p>
            <w:r>
              <w:rPr>
                <w:rFonts w:ascii="Aptos" w:hAnsi="Aptos" w:eastAsia="Aptos"/>
                <w:b/>
                <w:color w:val="FFFFFF"/>
                <w:sz w:val="17"/>
              </w:rPr>
              <w:t>Einordnung</w:t>
            </w:r>
          </w:p>
        </w:tc>
        <w:tc>
          <w:tcPr>
            <w:tcW w:type="dxa" w:w="2469"/>
            <w:shd w:fill="17324D"/>
            <w:tcMar>
              <w:top w:w="90" w:type="dxa"/>
              <w:start w:w="80" w:type="dxa"/>
              <w:bottom w:w="90" w:type="dxa"/>
              <w:end w:w="80" w:type="dxa"/>
            </w:tcMar>
          </w:tcPr>
          <w:p>
            <w:r>
              <w:rPr>
                <w:rFonts w:ascii="Aptos" w:hAnsi="Aptos" w:eastAsia="Aptos"/>
                <w:b/>
                <w:color w:val="FFFFFF"/>
                <w:sz w:val="17"/>
              </w:rPr>
              <w:t>Praxis</w:t>
            </w:r>
          </w:p>
        </w:tc>
      </w:tr>
      <w:tr>
        <w:trPr>
          <w:cantSplit/>
        </w:trPr>
        <w:tc>
          <w:tcPr>
            <w:tcW w:type="dxa" w:w="2880"/>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Bewegung schützt Gesundheit und Funktion</w:t>
            </w:r>
          </w:p>
        </w:tc>
        <w:tc>
          <w:tcPr>
            <w:tcW w:type="dxa" w:w="1800"/>
            <w:shd w:fill="E7F3EC"/>
            <w:tcMar>
              <w:top w:w="75" w:type="dxa"/>
              <w:start w:w="75" w:type="dxa"/>
              <w:bottom w:w="75" w:type="dxa"/>
              <w:end w:w="75" w:type="dxa"/>
            </w:tcMar>
            <w:tcBorders>
              <w:bottom w:val="single" w:sz="4" w:color="CBD5DF"/>
            </w:tcBorders>
          </w:tcPr>
          <w:p>
            <w:r>
              <w:rPr>
                <w:rFonts w:ascii="Aptos" w:hAnsi="Aptos" w:eastAsia="Aptos"/>
                <w:b/>
                <w:color w:val="17324D"/>
                <w:sz w:val="15"/>
              </w:rPr>
              <w:t>STARK</w:t>
            </w:r>
          </w:p>
        </w:tc>
        <w:tc>
          <w:tcPr>
            <w:tcW w:type="dxa" w:w="3816"/>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WHO empfiehlt Erwachsenen 150–300 Minuten moderate oder 75–150 Minuten intensive Aktivität pro Woche, ergänzt durch Krafttraining.</w:t>
            </w:r>
          </w:p>
        </w:tc>
        <w:tc>
          <w:tcPr>
            <w:tcW w:type="dxa" w:w="1368"/>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umsetzen</w:t>
            </w:r>
          </w:p>
        </w:tc>
      </w:tr>
      <w:tr>
        <w:trPr>
          <w:cantSplit/>
        </w:trPr>
        <w:tc>
          <w:tcPr>
            <w:tcW w:type="dxa" w:w="2880"/>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Krafttraining ist ab 50 besonders wichtig</w:t>
            </w:r>
          </w:p>
        </w:tc>
        <w:tc>
          <w:tcPr>
            <w:tcW w:type="dxa" w:w="1800"/>
            <w:shd w:fill="E7F3EC"/>
            <w:tcMar>
              <w:top w:w="75" w:type="dxa"/>
              <w:start w:w="75" w:type="dxa"/>
              <w:bottom w:w="75" w:type="dxa"/>
              <w:end w:w="75" w:type="dxa"/>
            </w:tcMar>
            <w:tcBorders>
              <w:bottom w:val="single" w:sz="4" w:color="CBD5DF"/>
            </w:tcBorders>
          </w:tcPr>
          <w:p>
            <w:r>
              <w:rPr>
                <w:rFonts w:ascii="Aptos" w:hAnsi="Aptos" w:eastAsia="Aptos"/>
                <w:b/>
                <w:color w:val="17324D"/>
                <w:sz w:val="15"/>
              </w:rPr>
              <w:t>STARK</w:t>
            </w:r>
          </w:p>
        </w:tc>
        <w:tc>
          <w:tcPr>
            <w:tcW w:type="dxa" w:w="3816"/>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Muskelkraft ist zentral für Mobilität und Sarkopenie-Diagnostik; progressive Belastung wirkt dem Funktionsverlust entgegen.</w:t>
            </w:r>
          </w:p>
        </w:tc>
        <w:tc>
          <w:tcPr>
            <w:tcW w:type="dxa" w:w="1368"/>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umsetzen</w:t>
            </w:r>
          </w:p>
        </w:tc>
      </w:tr>
      <w:tr>
        <w:trPr>
          <w:cantSplit/>
        </w:trPr>
        <w:tc>
          <w:tcPr>
            <w:tcW w:type="dxa" w:w="2880"/>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Ältere Menschen benötigen ausreichend Eiweiß</w:t>
            </w:r>
          </w:p>
        </w:tc>
        <w:tc>
          <w:tcPr>
            <w:tcW w:type="dxa" w:w="1800"/>
            <w:shd w:fill="E7F3EC"/>
            <w:tcMar>
              <w:top w:w="75" w:type="dxa"/>
              <w:start w:w="75" w:type="dxa"/>
              <w:bottom w:w="75" w:type="dxa"/>
              <w:end w:w="75" w:type="dxa"/>
            </w:tcMar>
            <w:tcBorders>
              <w:bottom w:val="single" w:sz="4" w:color="CBD5DF"/>
            </w:tcBorders>
          </w:tcPr>
          <w:p>
            <w:r>
              <w:rPr>
                <w:rFonts w:ascii="Aptos" w:hAnsi="Aptos" w:eastAsia="Aptos"/>
                <w:b/>
                <w:color w:val="17324D"/>
                <w:sz w:val="15"/>
              </w:rPr>
              <w:t>STARK</w:t>
            </w:r>
          </w:p>
        </w:tc>
        <w:tc>
          <w:tcPr>
            <w:tcW w:type="dxa" w:w="3816"/>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ESPEN nennt mindestens 1,0 g/kg Körpergewicht/Tag, individuell angepasst an Aktivität, Erkrankungen und Verträglichkeit.</w:t>
            </w:r>
          </w:p>
        </w:tc>
        <w:tc>
          <w:tcPr>
            <w:tcW w:type="dxa" w:w="1368"/>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anpassen</w:t>
            </w:r>
          </w:p>
        </w:tc>
      </w:tr>
      <w:tr>
        <w:trPr>
          <w:cantSplit/>
        </w:trPr>
        <w:tc>
          <w:tcPr>
            <w:tcW w:type="dxa" w:w="2880"/>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Der Stoffwechsel wird ab 40 automatisch langsam</w:t>
            </w:r>
          </w:p>
        </w:tc>
        <w:tc>
          <w:tcPr>
            <w:tcW w:type="dxa" w:w="1800"/>
            <w:shd w:fill="FFF4D6"/>
            <w:tcMar>
              <w:top w:w="75" w:type="dxa"/>
              <w:start w:w="75" w:type="dxa"/>
              <w:bottom w:w="75" w:type="dxa"/>
              <w:end w:w="75" w:type="dxa"/>
            </w:tcMar>
            <w:tcBorders>
              <w:bottom w:val="single" w:sz="4" w:color="CBD5DF"/>
            </w:tcBorders>
          </w:tcPr>
          <w:p>
            <w:r>
              <w:rPr>
                <w:rFonts w:ascii="Aptos" w:hAnsi="Aptos" w:eastAsia="Aptos"/>
                <w:b/>
                <w:color w:val="17324D"/>
                <w:sz w:val="15"/>
              </w:rPr>
              <w:t>EINGESCHRÄNKT</w:t>
            </w:r>
          </w:p>
        </w:tc>
        <w:tc>
          <w:tcPr>
            <w:tcW w:type="dxa" w:w="3816"/>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Große Daten zeigen einen stabilen, körperzusammensetzungsbereinigten Energieverbrauch von etwa 20 bis 60 Jahren; danach sinkt er im Mittel.</w:t>
            </w:r>
          </w:p>
        </w:tc>
        <w:tc>
          <w:tcPr>
            <w:tcW w:type="dxa" w:w="1368"/>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differenzieren</w:t>
            </w:r>
          </w:p>
        </w:tc>
      </w:tr>
      <w:tr>
        <w:trPr>
          <w:cantSplit/>
        </w:trPr>
        <w:tc>
          <w:tcPr>
            <w:tcW w:type="dxa" w:w="2880"/>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Muskeln wirken als Stoffwechsel- und Signalorgan</w:t>
            </w:r>
          </w:p>
        </w:tc>
        <w:tc>
          <w:tcPr>
            <w:tcW w:type="dxa" w:w="1800"/>
            <w:shd w:fill="E7F3EC"/>
            <w:tcMar>
              <w:top w:w="75" w:type="dxa"/>
              <w:start w:w="75" w:type="dxa"/>
              <w:bottom w:w="75" w:type="dxa"/>
              <w:end w:w="75" w:type="dxa"/>
            </w:tcMar>
            <w:tcBorders>
              <w:bottom w:val="single" w:sz="4" w:color="CBD5DF"/>
            </w:tcBorders>
          </w:tcPr>
          <w:p>
            <w:r>
              <w:rPr>
                <w:rFonts w:ascii="Aptos" w:hAnsi="Aptos" w:eastAsia="Aptos"/>
                <w:b/>
                <w:color w:val="17324D"/>
                <w:sz w:val="15"/>
              </w:rPr>
              <w:t>STARK</w:t>
            </w:r>
          </w:p>
        </w:tc>
        <w:tc>
          <w:tcPr>
            <w:tcW w:type="dxa" w:w="3816"/>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Kontrahierende Muskeln setzen Myokine frei und kommunizieren mit Fettgewebe, Leber, Knochen und anderen Organen.</w:t>
            </w:r>
          </w:p>
        </w:tc>
        <w:tc>
          <w:tcPr>
            <w:tcW w:type="dxa" w:w="1368"/>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relevant</w:t>
            </w:r>
          </w:p>
        </w:tc>
      </w:tr>
      <w:tr>
        <w:trPr>
          <w:cantSplit/>
        </w:trPr>
        <w:tc>
          <w:tcPr>
            <w:tcW w:type="dxa" w:w="2880"/>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Autophagie lässt sich durch feste Alltagsregeln exakt steuern</w:t>
            </w:r>
          </w:p>
        </w:tc>
        <w:tc>
          <w:tcPr>
            <w:tcW w:type="dxa" w:w="1800"/>
            <w:shd w:fill="FFF4D6"/>
            <w:tcMar>
              <w:top w:w="75" w:type="dxa"/>
              <w:start w:w="75" w:type="dxa"/>
              <w:bottom w:w="75" w:type="dxa"/>
              <w:end w:w="75" w:type="dxa"/>
            </w:tcMar>
            <w:tcBorders>
              <w:bottom w:val="single" w:sz="4" w:color="CBD5DF"/>
            </w:tcBorders>
          </w:tcPr>
          <w:p>
            <w:r>
              <w:rPr>
                <w:rFonts w:ascii="Aptos" w:hAnsi="Aptos" w:eastAsia="Aptos"/>
                <w:b/>
                <w:color w:val="17324D"/>
                <w:sz w:val="15"/>
              </w:rPr>
              <w:t>OFFEN</w:t>
            </w:r>
          </w:p>
        </w:tc>
        <w:tc>
          <w:tcPr>
            <w:tcW w:type="dxa" w:w="3816"/>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Autophagie ist biologisch real; optimale Fasten- oder Trainingsprotokolle für konkrete klinische Ziele beim Menschen sind nicht abschließend geklärt.</w:t>
            </w:r>
          </w:p>
        </w:tc>
        <w:tc>
          <w:tcPr>
            <w:tcW w:type="dxa" w:w="1368"/>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vorsichtig</w:t>
            </w:r>
          </w:p>
        </w:tc>
      </w:tr>
      <w:tr>
        <w:trPr>
          <w:cantSplit/>
        </w:trPr>
        <w:tc>
          <w:tcPr>
            <w:tcW w:type="dxa" w:w="2880"/>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Ein „Turbo-Stoffwechsel“ führt zuverlässig zu Gewichtsverlust</w:t>
            </w:r>
          </w:p>
        </w:tc>
        <w:tc>
          <w:tcPr>
            <w:tcW w:type="dxa" w:w="1800"/>
            <w:shd w:fill="FCE8E6"/>
            <w:tcMar>
              <w:top w:w="75" w:type="dxa"/>
              <w:start w:w="75" w:type="dxa"/>
              <w:bottom w:w="75" w:type="dxa"/>
              <w:end w:w="75" w:type="dxa"/>
            </w:tcMar>
            <w:tcBorders>
              <w:bottom w:val="single" w:sz="4" w:color="CBD5DF"/>
            </w:tcBorders>
          </w:tcPr>
          <w:p>
            <w:r>
              <w:rPr>
                <w:rFonts w:ascii="Aptos" w:hAnsi="Aptos" w:eastAsia="Aptos"/>
                <w:b/>
                <w:color w:val="17324D"/>
                <w:sz w:val="15"/>
              </w:rPr>
              <w:t>SCHWACH</w:t>
            </w:r>
          </w:p>
        </w:tc>
        <w:tc>
          <w:tcPr>
            <w:tcW w:type="dxa" w:w="3816"/>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Gewichtsregulation bleibt von Energieaufnahme, Körperzusammensetzung, Verhalten, Medikamenten und Erkrankungen abhängig.</w:t>
            </w:r>
          </w:p>
        </w:tc>
        <w:tc>
          <w:tcPr>
            <w:tcW w:type="dxa" w:w="1368"/>
            <w:shd w:fill="FFFFFF"/>
            <w:tcMar>
              <w:top w:w="75" w:type="dxa"/>
              <w:start w:w="75" w:type="dxa"/>
              <w:bottom w:w="75" w:type="dxa"/>
              <w:end w:w="75" w:type="dxa"/>
            </w:tcMar>
            <w:tcBorders>
              <w:bottom w:val="single" w:sz="4" w:color="CBD5DF"/>
            </w:tcBorders>
          </w:tcPr>
          <w:p>
            <w:r>
              <w:rPr>
                <w:rFonts w:ascii="Aptos" w:hAnsi="Aptos" w:eastAsia="Aptos"/>
                <w:b w:val="0"/>
                <w:color w:val="24313A"/>
                <w:sz w:val="16"/>
              </w:rPr>
              <w:t>nicht wörtlich</w:t>
            </w:r>
          </w:p>
        </w:tc>
      </w:tr>
      <w:tr>
        <w:trPr>
          <w:cantSplit/>
        </w:trPr>
        <w:tc>
          <w:tcPr>
            <w:tcW w:type="dxa" w:w="2880"/>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Bauchfett ist metabolisch problematischer als Unterhautfett</w:t>
            </w:r>
          </w:p>
        </w:tc>
        <w:tc>
          <w:tcPr>
            <w:tcW w:type="dxa" w:w="1800"/>
            <w:shd w:fill="E7F3EC"/>
            <w:tcMar>
              <w:top w:w="75" w:type="dxa"/>
              <w:start w:w="75" w:type="dxa"/>
              <w:bottom w:w="75" w:type="dxa"/>
              <w:end w:w="75" w:type="dxa"/>
            </w:tcMar>
            <w:tcBorders>
              <w:bottom w:val="single" w:sz="4" w:color="CBD5DF"/>
            </w:tcBorders>
          </w:tcPr>
          <w:p>
            <w:r>
              <w:rPr>
                <w:rFonts w:ascii="Aptos" w:hAnsi="Aptos" w:eastAsia="Aptos"/>
                <w:b/>
                <w:color w:val="17324D"/>
                <w:sz w:val="15"/>
              </w:rPr>
              <w:t>STARK</w:t>
            </w:r>
          </w:p>
        </w:tc>
        <w:tc>
          <w:tcPr>
            <w:tcW w:type="dxa" w:w="3816"/>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Viszerales Fett ist mit Insulinresistenz, Entzündungsaktivität und kardiometabolischem Risiko verbunden.</w:t>
            </w:r>
          </w:p>
        </w:tc>
        <w:tc>
          <w:tcPr>
            <w:tcW w:type="dxa" w:w="1368"/>
            <w:shd w:fill="FAFBFC"/>
            <w:tcMar>
              <w:top w:w="75" w:type="dxa"/>
              <w:start w:w="75" w:type="dxa"/>
              <w:bottom w:w="75" w:type="dxa"/>
              <w:end w:w="75" w:type="dxa"/>
            </w:tcMar>
            <w:tcBorders>
              <w:bottom w:val="single" w:sz="4" w:color="CBD5DF"/>
            </w:tcBorders>
          </w:tcPr>
          <w:p>
            <w:r>
              <w:rPr>
                <w:rFonts w:ascii="Aptos" w:hAnsi="Aptos" w:eastAsia="Aptos"/>
                <w:b w:val="0"/>
                <w:color w:val="24313A"/>
                <w:sz w:val="16"/>
              </w:rPr>
              <w:t>beachten</w:t>
            </w:r>
          </w:p>
        </w:tc>
      </w:tr>
    </w:tbl>
    <w:p>
      <w:pPr>
        <w:pStyle w:val="Heading2"/>
        <w:keepNext/>
        <w:spacing w:before="140" w:after="80"/>
      </w:pPr>
      <w:r>
        <w:rPr>
          <w:rFonts w:ascii="Aptos" w:hAnsi="Aptos" w:eastAsia="Aptos"/>
          <w:b/>
          <w:color w:val="1F6F78"/>
          <w:sz w:val="26"/>
        </w:rPr>
        <w:t>7.1 Bewegung und Muskeltraining</w:t>
      </w:r>
    </w:p>
    <w:p>
      <w:pPr>
        <w:spacing w:after="120" w:line="276" w:lineRule="auto"/>
      </w:pPr>
      <w:r>
        <w:rPr>
          <w:rFonts w:ascii="Aptos" w:hAnsi="Aptos" w:eastAsia="Aptos"/>
          <w:color w:val="24313A"/>
          <w:sz w:val="20"/>
        </w:rPr>
        <w:t>Die Grundrichtung des Buches stimmt klar mit Leitlinien überein. Die WHO empfiehlt regelmäßige Ausdaueraktivität und muskelkräftigende Übungen. Für ältere Menschen kommen Gleichgewicht und funktionelles Training hinzu. Besonders überzeugend ist Froböses Betonung der Muskelkraft: Der europäische Sarkopenie-Konsens betrachtet geringe Muskelkraft als zentrales Frühsignal und bestätigt die Diagnose über Muskelmasse beziehungsweise -qualität.</w:t>
      </w:r>
      <w:r>
        <w:rPr>
          <w:rFonts w:ascii="Aptos" w:hAnsi="Aptos" w:eastAsia="Aptos"/>
          <w:color w:val="1F6F78"/>
          <w:sz w:val="16"/>
          <w:vertAlign w:val="superscript"/>
        </w:rPr>
        <w:t xml:space="preserve"> [7]</w:t>
      </w:r>
      <w:r>
        <w:rPr>
          <w:rFonts w:ascii="Aptos" w:hAnsi="Aptos" w:eastAsia="Aptos"/>
          <w:color w:val="1F6F78"/>
          <w:sz w:val="16"/>
          <w:vertAlign w:val="superscript"/>
        </w:rPr>
        <w:t xml:space="preserve"> [10]</w:t>
      </w:r>
    </w:p>
    <w:p>
      <w:pPr>
        <w:pStyle w:val="Heading2"/>
        <w:keepNext/>
        <w:spacing w:before="140" w:after="80"/>
      </w:pPr>
      <w:r>
        <w:rPr>
          <w:rFonts w:ascii="Aptos" w:hAnsi="Aptos" w:eastAsia="Aptos"/>
          <w:b/>
          <w:color w:val="1F6F78"/>
          <w:sz w:val="26"/>
        </w:rPr>
        <w:t>7.2 Eiweißversorgung</w:t>
      </w:r>
    </w:p>
    <w:p>
      <w:pPr>
        <w:spacing w:after="120" w:line="276" w:lineRule="auto"/>
      </w:pPr>
      <w:r>
        <w:rPr>
          <w:rFonts w:ascii="Aptos" w:hAnsi="Aptos" w:eastAsia="Aptos"/>
          <w:color w:val="24313A"/>
          <w:sz w:val="20"/>
        </w:rPr>
        <w:t>Die ESPEN-Leitlinie empfiehlt für ältere Menschen mindestens etwa 1,0 Gramm Protein pro Kilogramm Körpergewicht und Tag; der Bedarf soll nach Ernährungszustand, Aktivität, Erkrankungen und Verträglichkeit angepasst werden. Häufig werden für gesunde aktive Ältere 1,0 bis 1,2 g/kg diskutiert. Bei Nierenerkrankungen oder anderen relevanten Diagnosen ist eine individuelle medizinische Bewertung erforderlich.</w:t>
      </w:r>
      <w:r>
        <w:rPr>
          <w:rFonts w:ascii="Aptos" w:hAnsi="Aptos" w:eastAsia="Aptos"/>
          <w:color w:val="1F6F78"/>
          <w:sz w:val="16"/>
          <w:vertAlign w:val="superscript"/>
        </w:rPr>
        <w:t xml:space="preserve"> [8]</w:t>
      </w:r>
    </w:p>
    <w:p>
      <w:pPr>
        <w:pStyle w:val="Heading2"/>
        <w:keepNext/>
        <w:spacing w:before="140" w:after="80"/>
      </w:pPr>
      <w:r>
        <w:rPr>
          <w:rFonts w:ascii="Aptos" w:hAnsi="Aptos" w:eastAsia="Aptos"/>
          <w:b/>
          <w:color w:val="1F6F78"/>
          <w:sz w:val="26"/>
        </w:rPr>
        <w:t>7.3 Alter und Energieverbrauch</w:t>
      </w:r>
    </w:p>
    <w:p>
      <w:pPr>
        <w:spacing w:after="120" w:line="276" w:lineRule="auto"/>
      </w:pPr>
      <w:r>
        <w:rPr>
          <w:rFonts w:ascii="Aptos" w:hAnsi="Aptos" w:eastAsia="Aptos"/>
          <w:color w:val="24313A"/>
          <w:sz w:val="20"/>
        </w:rPr>
        <w:t>Eine wichtige Korrektur populärer Stoffwechselerzählungen liefert die große internationale Studie von Pontzer und Kollegen: Nach Anpassung an fettfreie Masse und Fettmasse blieb der Gesamt- und Grundenergieverbrauch im Mittel zwischen 20 und 60 Jahren stabil. Erst ab etwa 60 Jahren zeigte sich ein durchschnittlicher Rückgang. Gewichtszunahme in der Lebensmitte lässt sich daher nicht allein mit einem plötzlich „eingeschlafenen“ Stoffwechsel erklären; weniger Bewegung, Muskelverlust, Schlaf, Ernährung, Medikamente und Lebensumstände spielen häufig zusammen.</w:t>
      </w:r>
      <w:r>
        <w:rPr>
          <w:rFonts w:ascii="Aptos" w:hAnsi="Aptos" w:eastAsia="Aptos"/>
          <w:color w:val="1F6F78"/>
          <w:sz w:val="16"/>
          <w:vertAlign w:val="superscript"/>
        </w:rPr>
        <w:t xml:space="preserve"> [9]</w:t>
      </w:r>
    </w:p>
    <w:p>
      <w:pPr>
        <w:pStyle w:val="Heading2"/>
        <w:keepNext/>
        <w:spacing w:before="140" w:after="80"/>
      </w:pPr>
      <w:r>
        <w:rPr>
          <w:rFonts w:ascii="Aptos" w:hAnsi="Aptos" w:eastAsia="Aptos"/>
          <w:b/>
          <w:color w:val="1F6F78"/>
          <w:sz w:val="26"/>
        </w:rPr>
        <w:t>7.4 Muskulatur als Signalorgan</w:t>
      </w:r>
    </w:p>
    <w:p>
      <w:pPr>
        <w:spacing w:after="120" w:line="276" w:lineRule="auto"/>
      </w:pPr>
      <w:r>
        <w:rPr>
          <w:rFonts w:ascii="Aptos" w:hAnsi="Aptos" w:eastAsia="Aptos"/>
          <w:color w:val="24313A"/>
          <w:sz w:val="20"/>
        </w:rPr>
        <w:t>Froböses Bild von der Muskulatur als „Gesundmacher“ hat einen realen wissenschaftlichen Kern. Kontrahierende Muskeln setzen Botenstoffe – sogenannte Myokine – frei. Diese sind an der Kommunikation mit Fettgewebe, Leber, Knochen, Gefäßen, Gehirn und Immunsystem beteiligt. Die Metapher einer „körpereigenen Apotheke“ ist anschaulich, sollte jedoch nicht als Heilversprechen verstanden werden.</w:t>
      </w:r>
      <w:r>
        <w:rPr>
          <w:rFonts w:ascii="Aptos" w:hAnsi="Aptos" w:eastAsia="Aptos"/>
          <w:color w:val="1F6F78"/>
          <w:sz w:val="16"/>
          <w:vertAlign w:val="superscript"/>
        </w:rPr>
        <w:t xml:space="preserve"> [11]</w:t>
      </w:r>
    </w:p>
    <w:p>
      <w:pPr>
        <w:pStyle w:val="Heading2"/>
        <w:keepNext/>
        <w:spacing w:before="140" w:after="80"/>
      </w:pPr>
      <w:r>
        <w:rPr>
          <w:rFonts w:ascii="Aptos" w:hAnsi="Aptos" w:eastAsia="Aptos"/>
          <w:b/>
          <w:color w:val="1F6F78"/>
          <w:sz w:val="26"/>
        </w:rPr>
        <w:t>7.5 Autophagie, Fasten und „Stoffwechseloptimierung“</w:t>
      </w:r>
    </w:p>
    <w:p>
      <w:pPr>
        <w:spacing w:after="120" w:line="276" w:lineRule="auto"/>
      </w:pPr>
      <w:r>
        <w:rPr>
          <w:rFonts w:ascii="Aptos" w:hAnsi="Aptos" w:eastAsia="Aptos"/>
          <w:color w:val="24313A"/>
          <w:sz w:val="20"/>
        </w:rPr>
        <w:t>Autophagie ist ein grundlegender zellulärer Recyclingprozess. Bewegung, Energieverfügbarkeit und Fastensignale können ihn beeinflussen. Schwieriger ist die Übertragung auf konkrete Ratgeberregeln: Beim Menschen sind Dauer, Intensität und klinische Bedeutung verschiedener Fasten- und Trainingsprotokolle nicht für alle Zielgruppen eindeutig bestimmt. Aussagen über „Zellreinigung“ sollten daher als vereinfachende Beschreibung, nicht als messbares Versprechen gelesen werden.</w:t>
      </w:r>
    </w:p>
    <w:p>
      <w:pPr>
        <w:pStyle w:val="Heading2"/>
        <w:keepNext/>
        <w:spacing w:before="140" w:after="80"/>
      </w:pPr>
      <w:r>
        <w:rPr>
          <w:rFonts w:ascii="Aptos" w:hAnsi="Aptos" w:eastAsia="Aptos"/>
          <w:b/>
          <w:color w:val="1F6F78"/>
          <w:sz w:val="26"/>
        </w:rPr>
        <w:t>7.6 Klinische Grenzen</w:t>
      </w:r>
    </w:p>
    <w:tbl>
      <w:tblPr>
        <w:tblW w:type="auto" w:w="0"/>
        <w:jc w:val="center"/>
        <w:tblLayout w:type="fixed"/>
        <w:tblLook w:firstColumn="1" w:firstRow="1" w:lastColumn="0" w:lastRow="0" w:noHBand="0" w:noVBand="1" w:val="04A0"/>
      </w:tblPr>
      <w:tblGrid>
        <w:gridCol w:w="173"/>
        <w:gridCol w:w="9677"/>
      </w:tblGrid>
      <w:tr>
        <w:trPr>
          <w:cantSplit/>
        </w:trPr>
        <w:tc>
          <w:tcPr>
            <w:tcW w:type="dxa" w:w="4939"/>
            <w:shd w:fill="B23A2B"/>
            <w:tcMar>
              <w:top w:w="120" w:type="dxa"/>
              <w:start w:w="120" w:type="dxa"/>
              <w:bottom w:w="120" w:type="dxa"/>
              <w:end w:w="120" w:type="dxa"/>
            </w:tcMar>
            <w:tcBorders>
              <w:top w:val="single" w:sz="4" w:color="FCE8E6"/>
              <w:left w:val="single" w:sz="4" w:color="FCE8E6"/>
              <w:bottom w:val="single" w:sz="4" w:color="FCE8E6"/>
              <w:right w:val="single" w:sz="4" w:color="FCE8E6"/>
            </w:tcBorders>
          </w:tcPr>
          <w:p/>
        </w:tc>
        <w:tc>
          <w:tcPr>
            <w:tcW w:type="dxa" w:w="4939"/>
            <w:shd w:fill="FCE8E6"/>
            <w:tcMar>
              <w:top w:w="120" w:type="dxa"/>
              <w:start w:w="120" w:type="dxa"/>
              <w:bottom w:w="120" w:type="dxa"/>
              <w:end w:w="120" w:type="dxa"/>
            </w:tcMar>
            <w:tcBorders>
              <w:top w:val="single" w:sz="4" w:color="FCE8E6"/>
              <w:left w:val="single" w:sz="4" w:color="FCE8E6"/>
              <w:bottom w:val="single" w:sz="4" w:color="FCE8E6"/>
              <w:right w:val="single" w:sz="4" w:color="FCE8E6"/>
            </w:tcBorders>
          </w:tcPr>
          <w:p>
            <w:pPr>
              <w:spacing w:after="40"/>
            </w:pPr>
            <w:r>
              <w:rPr>
                <w:rFonts w:ascii="Aptos" w:hAnsi="Aptos" w:eastAsia="Aptos"/>
                <w:b/>
                <w:color w:val="B23A2B"/>
                <w:sz w:val="21"/>
              </w:rPr>
              <w:t>Wann ein Ratgeber nicht genügt</w:t>
            </w:r>
          </w:p>
          <w:p>
            <w:pPr>
              <w:spacing w:after="0" w:line="264" w:lineRule="auto"/>
            </w:pPr>
            <w:r>
              <w:rPr>
                <w:rFonts w:ascii="Aptos" w:hAnsi="Aptos" w:eastAsia="Aptos"/>
                <w:color w:val="24313A"/>
                <w:sz w:val="19"/>
              </w:rPr>
              <w:t>Unbeabsichtigter Gewichtsverlust, ausgeprägte Müdigkeit, anhaltender Leistungsabfall, starke Muskelschwäche, auffälliger Durst, häufiges Wasserlassen, Herzrasen, Atemnot oder neue Verdauungsbeschwerden können medizinische Ursachen haben. Hier ist Diagnostik wichtiger als das eigenständige „Optimieren“ des Stoffwechsels.</w:t>
            </w:r>
          </w:p>
        </w:tc>
      </w:tr>
    </w:tbl>
    <w:p>
      <w:pPr>
        <w:spacing w:after="40"/>
      </w:pPr>
    </w:p>
    <w:p>
      <w:pPr>
        <w:pStyle w:val="Heading2"/>
        <w:keepNext/>
        <w:spacing w:before="140" w:after="80"/>
      </w:pPr>
      <w:r>
        <w:rPr>
          <w:rFonts w:ascii="Aptos" w:hAnsi="Aptos" w:eastAsia="Aptos"/>
          <w:b/>
          <w:color w:val="1F6F78"/>
          <w:sz w:val="26"/>
        </w:rPr>
        <w:t>Wissenschaftlich robuste Praxisprinzipien</w:t>
      </w:r>
    </w:p>
    <w:p>
      <w:pPr>
        <w:pStyle w:val="ListNumber"/>
        <w:spacing w:after="60"/>
        <w:ind w:left="346" w:hanging="230"/>
      </w:pPr>
      <w:r>
        <w:rPr>
          <w:rFonts w:ascii="Aptos" w:hAnsi="Aptos" w:eastAsia="Aptos"/>
          <w:color w:val="24313A"/>
          <w:sz w:val="20"/>
        </w:rPr>
        <w:t>An mindestens zwei Tagen pro Woche alle großen Muskelgruppen kräftigen.</w:t>
      </w:r>
    </w:p>
    <w:p>
      <w:pPr>
        <w:pStyle w:val="ListNumber"/>
        <w:spacing w:after="60"/>
        <w:ind w:left="346" w:hanging="230"/>
      </w:pPr>
      <w:r>
        <w:rPr>
          <w:rFonts w:ascii="Aptos" w:hAnsi="Aptos" w:eastAsia="Aptos"/>
          <w:color w:val="24313A"/>
          <w:sz w:val="20"/>
        </w:rPr>
        <w:t>Ausdauer und Alltagsbewegung ergänzen; langes Sitzen regelmäßig unterbrechen.</w:t>
      </w:r>
    </w:p>
    <w:p>
      <w:pPr>
        <w:pStyle w:val="ListNumber"/>
        <w:spacing w:after="60"/>
        <w:ind w:left="346" w:hanging="230"/>
      </w:pPr>
      <w:r>
        <w:rPr>
          <w:rFonts w:ascii="Aptos" w:hAnsi="Aptos" w:eastAsia="Aptos"/>
          <w:color w:val="24313A"/>
          <w:sz w:val="20"/>
        </w:rPr>
        <w:t>Protein über den Tag verteilen und an Körpergewicht, Aktivität und Gesundheit anpassen.</w:t>
      </w:r>
    </w:p>
    <w:p>
      <w:pPr>
        <w:pStyle w:val="ListNumber"/>
        <w:spacing w:after="60"/>
        <w:ind w:left="346" w:hanging="230"/>
      </w:pPr>
      <w:r>
        <w:rPr>
          <w:rFonts w:ascii="Aptos" w:hAnsi="Aptos" w:eastAsia="Aptos"/>
          <w:color w:val="24313A"/>
          <w:sz w:val="20"/>
        </w:rPr>
        <w:t>Gewichtsentwicklung nicht nur über die Waage, sondern auch über Taillenumfang, Kraft, Leistungsfähigkeit und Wohlbefinden beurteilen.</w:t>
      </w:r>
    </w:p>
    <w:p>
      <w:pPr>
        <w:pStyle w:val="ListNumber"/>
        <w:spacing w:after="60"/>
        <w:ind w:left="346" w:hanging="230"/>
      </w:pPr>
      <w:r>
        <w:rPr>
          <w:rFonts w:ascii="Aptos" w:hAnsi="Aptos" w:eastAsia="Aptos"/>
          <w:color w:val="24313A"/>
          <w:sz w:val="20"/>
        </w:rPr>
        <w:t>Schlaf, Stressregulation und Regeneration als Teil des Trainings betrachten.</w:t>
      </w:r>
    </w:p>
    <w:p>
      <w:pPr>
        <w:pStyle w:val="ListNumber"/>
        <w:spacing w:after="60"/>
        <w:ind w:left="346" w:hanging="230"/>
      </w:pPr>
      <w:r>
        <w:rPr>
          <w:rFonts w:ascii="Aptos" w:hAnsi="Aptos" w:eastAsia="Aptos"/>
          <w:color w:val="24313A"/>
          <w:sz w:val="20"/>
        </w:rPr>
        <w:t>Bei chronischen Erkrankungen oder Medikamenteneinnahme Training und Ernährung abstimmen lassen.</w:t>
      </w:r>
    </w:p>
    <w:p>
      <w:pPr>
        <w:pStyle w:val="ListNumber"/>
        <w:spacing w:after="60"/>
        <w:ind w:left="346" w:hanging="230"/>
      </w:pPr>
      <w:r>
        <w:rPr>
          <w:rFonts w:ascii="Aptos" w:hAnsi="Aptos" w:eastAsia="Aptos"/>
          <w:color w:val="24313A"/>
          <w:sz w:val="20"/>
        </w:rPr>
        <w:t>Keine Nahrungsergänzung als Ersatz für Bewegung, Ernährung und medizinische Behandlung ansehen.</w:t>
      </w:r>
    </w:p>
    <w:p>
      <w:pPr>
        <w:pStyle w:val="Heading1"/>
        <w:keepNext/>
        <w:spacing w:before="200" w:after="80"/>
      </w:pPr>
      <w:r>
        <w:rPr>
          <w:rFonts w:ascii="Aptos" w:hAnsi="Aptos" w:eastAsia="Aptos"/>
          <w:b/>
          <w:color w:val="17324D"/>
          <w:sz w:val="34"/>
        </w:rPr>
        <w:t>8  Gesamtbewertung</w:t>
      </w:r>
    </w:p>
    <w:p>
      <w:pPr>
        <w:pStyle w:val="Heading2"/>
        <w:keepNext/>
        <w:spacing w:before="140" w:after="80"/>
      </w:pPr>
      <w:r>
        <w:rPr>
          <w:rFonts w:ascii="Aptos" w:hAnsi="Aptos" w:eastAsia="Aptos"/>
          <w:b/>
          <w:color w:val="1F6F78"/>
          <w:sz w:val="26"/>
        </w:rPr>
        <w:t>Froböse als Wissenschaftler</w:t>
      </w:r>
    </w:p>
    <w:p>
      <w:pPr>
        <w:spacing w:after="120" w:line="276" w:lineRule="auto"/>
      </w:pPr>
      <w:r>
        <w:rPr>
          <w:rFonts w:ascii="Aptos" w:hAnsi="Aptos" w:eastAsia="Aptos"/>
          <w:color w:val="24313A"/>
          <w:sz w:val="20"/>
        </w:rPr>
        <w:t>Ingo Froböse verfügt über einen langjährigen universitären Hintergrund und ein umfangreiches anwendungsorientiertes Forschungs- und Lehrwerk. Seine stärksten Felder sind Prävention, Rehabilitation, Trainingssteuerung, Muskel- und Funktionsgesundheit sowie Gesundheitsförderung in unterschiedlichen Lebenswelten. Er steht für Transfer: Forschung soll verständlich, motivierend und praktisch nutzbar werden.</w:t>
      </w:r>
    </w:p>
    <w:p>
      <w:pPr>
        <w:pStyle w:val="Heading2"/>
        <w:keepNext/>
        <w:spacing w:before="140" w:after="80"/>
      </w:pPr>
      <w:r>
        <w:rPr>
          <w:rFonts w:ascii="Aptos" w:hAnsi="Aptos" w:eastAsia="Aptos"/>
          <w:b/>
          <w:color w:val="1F6F78"/>
          <w:sz w:val="26"/>
        </w:rPr>
        <w:t>Froböse als Autor</w:t>
      </w:r>
    </w:p>
    <w:p>
      <w:pPr>
        <w:spacing w:after="120" w:line="276" w:lineRule="auto"/>
      </w:pPr>
      <w:r>
        <w:rPr>
          <w:rFonts w:ascii="Aptos" w:hAnsi="Aptos" w:eastAsia="Aptos"/>
          <w:color w:val="24313A"/>
          <w:sz w:val="20"/>
        </w:rPr>
        <w:t>Als Sachbuchautor ist er besonders wirksam, wenn er Menschen aus Schonung, Passivität und Diätdenken herausführt. Seine Bücher fördern ein aktives Altersbild und machen Krafttraining für die zweite Lebenshälfte gesellschaftlich anschlussfähig. Die Kehrseite der starken Vermittlung sind Zuspitzungen, die in Werbung und Buchtiteln gelegentlich präziser klingen, als die Forschung es erlaubt.</w:t>
      </w:r>
    </w:p>
    <w:p>
      <w:pPr>
        <w:pStyle w:val="Heading2"/>
        <w:keepNext/>
        <w:spacing w:before="140" w:after="80"/>
      </w:pPr>
      <w:r>
        <w:rPr>
          <w:rFonts w:ascii="Aptos" w:hAnsi="Aptos" w:eastAsia="Aptos"/>
          <w:b/>
          <w:color w:val="1F6F78"/>
          <w:sz w:val="26"/>
        </w:rPr>
        <w:t>Urteil über „Der Stoffwechsel-Kompass“</w:t>
      </w:r>
    </w:p>
    <w:tbl>
      <w:tblPr>
        <w:tblW w:type="auto" w:w="0"/>
        <w:jc w:val="center"/>
        <w:tblLayout w:type="fixed"/>
        <w:tblLook w:firstColumn="1" w:firstRow="1" w:lastColumn="0" w:lastRow="0" w:noHBand="0" w:noVBand="1" w:val="04A0"/>
      </w:tblPr>
      <w:tblGrid>
        <w:gridCol w:w="173"/>
        <w:gridCol w:w="9677"/>
      </w:tblGrid>
      <w:tr>
        <w:trPr>
          <w:cantSplit/>
        </w:trPr>
        <w:tc>
          <w:tcPr>
            <w:tcW w:type="dxa" w:w="4939"/>
            <w:shd w:fill="1F6F78"/>
            <w:tcMar>
              <w:top w:w="120" w:type="dxa"/>
              <w:start w:w="120" w:type="dxa"/>
              <w:bottom w:w="120" w:type="dxa"/>
              <w:end w:w="120" w:type="dxa"/>
            </w:tcMar>
            <w:tcBorders>
              <w:top w:val="single" w:sz="4" w:color="E8F2F3"/>
              <w:left w:val="single" w:sz="4" w:color="E8F2F3"/>
              <w:bottom w:val="single" w:sz="4" w:color="E8F2F3"/>
              <w:right w:val="single" w:sz="4" w:color="E8F2F3"/>
            </w:tcBorders>
          </w:tcPr>
          <w:p/>
        </w:tc>
        <w:tc>
          <w:tcPr>
            <w:tcW w:type="dxa" w:w="4939"/>
            <w:shd w:fill="E8F2F3"/>
            <w:tcMar>
              <w:top w:w="120" w:type="dxa"/>
              <w:start w:w="120" w:type="dxa"/>
              <w:bottom w:w="120" w:type="dxa"/>
              <w:end w:w="120" w:type="dxa"/>
            </w:tcMar>
            <w:tcBorders>
              <w:top w:val="single" w:sz="4" w:color="E8F2F3"/>
              <w:left w:val="single" w:sz="4" w:color="E8F2F3"/>
              <w:bottom w:val="single" w:sz="4" w:color="E8F2F3"/>
              <w:right w:val="single" w:sz="4" w:color="E8F2F3"/>
            </w:tcBorders>
          </w:tcPr>
          <w:p>
            <w:pPr>
              <w:spacing w:after="40"/>
            </w:pPr>
            <w:r>
              <w:rPr>
                <w:rFonts w:ascii="Aptos" w:hAnsi="Aptos" w:eastAsia="Aptos"/>
                <w:b/>
                <w:color w:val="1F6F78"/>
                <w:sz w:val="21"/>
              </w:rPr>
              <w:t>Gesamturteil</w:t>
            </w:r>
          </w:p>
          <w:p>
            <w:pPr>
              <w:spacing w:after="0" w:line="264" w:lineRule="auto"/>
            </w:pPr>
            <w:r>
              <w:rPr>
                <w:rFonts w:ascii="Aptos" w:hAnsi="Aptos" w:eastAsia="Aptos"/>
                <w:color w:val="24313A"/>
                <w:sz w:val="19"/>
              </w:rPr>
              <w:t>Ein empfehlenswerter, breit angelegter Einstieg für Leserinnen und Leser, die ihren Körper besser verstehen und in der zweiten Lebenshälfte aktiv bleiben möchten. Besonders stark sind die Passagen zu Muskulatur, Bewegung, Energieversorgung und altersbedingter Funktionsfähigkeit. Das Buch sollte als populärwissenschaftliche Orientierung gelesen werden – nicht als individuelle Therapieanweisung oder als Beweis, dass sich der Stoffwechsel mit wenigen Tricks „tunen“ lässt.</w:t>
            </w:r>
          </w:p>
        </w:tc>
      </w:tr>
    </w:tbl>
    <w:p>
      <w:pPr>
        <w:spacing w:after="40"/>
      </w:pPr>
    </w:p>
    <w:p>
      <w:pPr>
        <w:pStyle w:val="Heading2"/>
        <w:keepNext/>
        <w:spacing w:before="140" w:after="80"/>
      </w:pPr>
      <w:r>
        <w:rPr>
          <w:rFonts w:ascii="Aptos" w:hAnsi="Aptos" w:eastAsia="Aptos"/>
          <w:b/>
          <w:color w:val="1F6F78"/>
          <w:sz w:val="26"/>
        </w:rPr>
        <w:t>Bewertung in fünf Dimensionen</w:t>
      </w:r>
    </w:p>
    <w:tbl>
      <w:tblPr>
        <w:tblW w:type="auto" w:w="0"/>
        <w:jc w:val="center"/>
        <w:tblLayout w:type="fixed"/>
        <w:tblLook w:firstColumn="1" w:firstRow="1" w:lastColumn="0" w:lastRow="0" w:noHBand="0" w:noVBand="1" w:val="04A0"/>
      </w:tblPr>
      <w:tblGrid>
        <w:gridCol w:w="3168"/>
        <w:gridCol w:w="2016"/>
        <w:gridCol w:w="4680"/>
      </w:tblGrid>
      <w:tr>
        <w:trPr>
          <w:cantSplit/>
        </w:trPr>
        <w:tc>
          <w:tcPr>
            <w:tcW w:type="dxa" w:w="3293"/>
            <w:shd w:fill="17324D"/>
            <w:tcMar>
              <w:top w:w="90" w:type="dxa"/>
              <w:start w:w="90" w:type="dxa"/>
              <w:bottom w:w="90" w:type="dxa"/>
              <w:end w:w="90" w:type="dxa"/>
            </w:tcMar>
          </w:tcPr>
          <w:p>
            <w:r>
              <w:rPr>
                <w:rFonts w:ascii="Aptos" w:hAnsi="Aptos" w:eastAsia="Aptos"/>
                <w:b/>
                <w:color w:val="FFFFFF"/>
                <w:sz w:val="18"/>
              </w:rPr>
              <w:t>Dimension</w:t>
            </w:r>
          </w:p>
        </w:tc>
        <w:tc>
          <w:tcPr>
            <w:tcW w:type="dxa" w:w="3293"/>
            <w:shd w:fill="17324D"/>
            <w:tcMar>
              <w:top w:w="90" w:type="dxa"/>
              <w:start w:w="90" w:type="dxa"/>
              <w:bottom w:w="90" w:type="dxa"/>
              <w:end w:w="90" w:type="dxa"/>
            </w:tcMar>
          </w:tcPr>
          <w:p>
            <w:r>
              <w:rPr>
                <w:rFonts w:ascii="Aptos" w:hAnsi="Aptos" w:eastAsia="Aptos"/>
                <w:b/>
                <w:color w:val="FFFFFF"/>
                <w:sz w:val="18"/>
              </w:rPr>
              <w:t>Bewertung</w:t>
            </w:r>
          </w:p>
        </w:tc>
        <w:tc>
          <w:tcPr>
            <w:tcW w:type="dxa" w:w="3293"/>
            <w:shd w:fill="17324D"/>
            <w:tcMar>
              <w:top w:w="90" w:type="dxa"/>
              <w:start w:w="90" w:type="dxa"/>
              <w:bottom w:w="90" w:type="dxa"/>
              <w:end w:w="90" w:type="dxa"/>
            </w:tcMar>
          </w:tcPr>
          <w:p>
            <w:r>
              <w:rPr>
                <w:rFonts w:ascii="Aptos" w:hAnsi="Aptos" w:eastAsia="Aptos"/>
                <w:b/>
                <w:color w:val="FFFFFF"/>
                <w:sz w:val="18"/>
              </w:rPr>
              <w:t>Kommentar</w:t>
            </w:r>
          </w:p>
        </w:tc>
      </w:tr>
      <w:tr>
        <w:trPr>
          <w:cantSplit/>
        </w:trPr>
        <w:tc>
          <w:tcPr>
            <w:tcW w:type="dxa" w:w="3168"/>
            <w:shd w:fill="FFFFFF"/>
            <w:tcMar>
              <w:top w:w="80" w:type="dxa"/>
              <w:start w:w="90" w:type="dxa"/>
              <w:bottom w:w="80" w:type="dxa"/>
              <w:end w:w="90" w:type="dxa"/>
            </w:tcMar>
            <w:tcBorders>
              <w:bottom w:val="single" w:sz="4" w:color="CBD5DF"/>
            </w:tcBorders>
          </w:tcPr>
          <w:p>
            <w:r>
              <w:rPr>
                <w:rFonts w:ascii="Aptos" w:hAnsi="Aptos" w:eastAsia="Aptos"/>
                <w:b w:val="0"/>
                <w:color w:val="24313A"/>
                <w:sz w:val="18"/>
              </w:rPr>
              <w:t>Fachlicher Hintergrund</w:t>
            </w:r>
          </w:p>
        </w:tc>
        <w:tc>
          <w:tcPr>
            <w:tcW w:type="dxa" w:w="2016"/>
            <w:shd w:fill="FFFFFF"/>
            <w:tcMar>
              <w:top w:w="80" w:type="dxa"/>
              <w:start w:w="90" w:type="dxa"/>
              <w:bottom w:w="80" w:type="dxa"/>
              <w:end w:w="90" w:type="dxa"/>
            </w:tcMar>
            <w:tcBorders>
              <w:bottom w:val="single" w:sz="4" w:color="CBD5DF"/>
            </w:tcBorders>
          </w:tcPr>
          <w:p>
            <w:r>
              <w:rPr>
                <w:rFonts w:ascii="Aptos" w:hAnsi="Aptos" w:eastAsia="Aptos"/>
                <w:b/>
                <w:color w:val="1F6F78"/>
                <w:sz w:val="18"/>
              </w:rPr>
              <w:t>sehr gut</w:t>
            </w:r>
          </w:p>
        </w:tc>
        <w:tc>
          <w:tcPr>
            <w:tcW w:type="dxa" w:w="4680"/>
            <w:shd w:fill="FFFFFF"/>
            <w:tcMar>
              <w:top w:w="80" w:type="dxa"/>
              <w:start w:w="90" w:type="dxa"/>
              <w:bottom w:w="80" w:type="dxa"/>
              <w:end w:w="90" w:type="dxa"/>
            </w:tcMar>
            <w:tcBorders>
              <w:bottom w:val="single" w:sz="4" w:color="CBD5DF"/>
            </w:tcBorders>
          </w:tcPr>
          <w:p>
            <w:r>
              <w:rPr>
                <w:rFonts w:ascii="Aptos" w:hAnsi="Aptos" w:eastAsia="Aptos"/>
                <w:b w:val="0"/>
                <w:color w:val="24313A"/>
                <w:sz w:val="18"/>
              </w:rPr>
              <w:t>für Bewegung, Training, Prävention und Rehabilitation</w:t>
            </w:r>
          </w:p>
        </w:tc>
      </w:tr>
      <w:tr>
        <w:trPr>
          <w:cantSplit/>
        </w:trPr>
        <w:tc>
          <w:tcPr>
            <w:tcW w:type="dxa" w:w="3168"/>
            <w:shd w:fill="F4F6F8"/>
            <w:tcMar>
              <w:top w:w="80" w:type="dxa"/>
              <w:start w:w="90" w:type="dxa"/>
              <w:bottom w:w="80" w:type="dxa"/>
              <w:end w:w="90" w:type="dxa"/>
            </w:tcMar>
            <w:tcBorders>
              <w:bottom w:val="single" w:sz="4" w:color="CBD5DF"/>
            </w:tcBorders>
          </w:tcPr>
          <w:p>
            <w:r>
              <w:rPr>
                <w:rFonts w:ascii="Aptos" w:hAnsi="Aptos" w:eastAsia="Aptos"/>
                <w:b w:val="0"/>
                <w:color w:val="24313A"/>
                <w:sz w:val="18"/>
              </w:rPr>
              <w:t>Wissenschaftliche Tiefe</w:t>
            </w:r>
          </w:p>
        </w:tc>
        <w:tc>
          <w:tcPr>
            <w:tcW w:type="dxa" w:w="2016"/>
            <w:shd w:fill="F4F6F8"/>
            <w:tcMar>
              <w:top w:w="80" w:type="dxa"/>
              <w:start w:w="90" w:type="dxa"/>
              <w:bottom w:w="80" w:type="dxa"/>
              <w:end w:w="90" w:type="dxa"/>
            </w:tcMar>
            <w:tcBorders>
              <w:bottom w:val="single" w:sz="4" w:color="CBD5DF"/>
            </w:tcBorders>
          </w:tcPr>
          <w:p>
            <w:r>
              <w:rPr>
                <w:rFonts w:ascii="Aptos" w:hAnsi="Aptos" w:eastAsia="Aptos"/>
                <w:b/>
                <w:color w:val="1F6F78"/>
                <w:sz w:val="18"/>
              </w:rPr>
              <w:t>gut</w:t>
            </w:r>
          </w:p>
        </w:tc>
        <w:tc>
          <w:tcPr>
            <w:tcW w:type="dxa" w:w="4680"/>
            <w:shd w:fill="F4F6F8"/>
            <w:tcMar>
              <w:top w:w="80" w:type="dxa"/>
              <w:start w:w="90" w:type="dxa"/>
              <w:bottom w:w="80" w:type="dxa"/>
              <w:end w:w="90" w:type="dxa"/>
            </w:tcMar>
            <w:tcBorders>
              <w:bottom w:val="single" w:sz="4" w:color="CBD5DF"/>
            </w:tcBorders>
          </w:tcPr>
          <w:p>
            <w:r>
              <w:rPr>
                <w:rFonts w:ascii="Aptos" w:hAnsi="Aptos" w:eastAsia="Aptos"/>
                <w:b w:val="0"/>
                <w:color w:val="24313A"/>
                <w:sz w:val="18"/>
              </w:rPr>
              <w:t>breit, aber nicht durchgehend fachbuchartig</w:t>
            </w:r>
          </w:p>
        </w:tc>
      </w:tr>
      <w:tr>
        <w:trPr>
          <w:cantSplit/>
        </w:trPr>
        <w:tc>
          <w:tcPr>
            <w:tcW w:type="dxa" w:w="3168"/>
            <w:shd w:fill="FFFFFF"/>
            <w:tcMar>
              <w:top w:w="80" w:type="dxa"/>
              <w:start w:w="90" w:type="dxa"/>
              <w:bottom w:w="80" w:type="dxa"/>
              <w:end w:w="90" w:type="dxa"/>
            </w:tcMar>
            <w:tcBorders>
              <w:bottom w:val="single" w:sz="4" w:color="CBD5DF"/>
            </w:tcBorders>
          </w:tcPr>
          <w:p>
            <w:r>
              <w:rPr>
                <w:rFonts w:ascii="Aptos" w:hAnsi="Aptos" w:eastAsia="Aptos"/>
                <w:b w:val="0"/>
                <w:color w:val="24313A"/>
                <w:sz w:val="18"/>
              </w:rPr>
              <w:t>Verständlichkeit</w:t>
            </w:r>
          </w:p>
        </w:tc>
        <w:tc>
          <w:tcPr>
            <w:tcW w:type="dxa" w:w="2016"/>
            <w:shd w:fill="FFFFFF"/>
            <w:tcMar>
              <w:top w:w="80" w:type="dxa"/>
              <w:start w:w="90" w:type="dxa"/>
              <w:bottom w:w="80" w:type="dxa"/>
              <w:end w:w="90" w:type="dxa"/>
            </w:tcMar>
            <w:tcBorders>
              <w:bottom w:val="single" w:sz="4" w:color="CBD5DF"/>
            </w:tcBorders>
          </w:tcPr>
          <w:p>
            <w:r>
              <w:rPr>
                <w:rFonts w:ascii="Aptos" w:hAnsi="Aptos" w:eastAsia="Aptos"/>
                <w:b/>
                <w:color w:val="1F6F78"/>
                <w:sz w:val="18"/>
              </w:rPr>
              <w:t>sehr gut</w:t>
            </w:r>
          </w:p>
        </w:tc>
        <w:tc>
          <w:tcPr>
            <w:tcW w:type="dxa" w:w="4680"/>
            <w:shd w:fill="FFFFFF"/>
            <w:tcMar>
              <w:top w:w="80" w:type="dxa"/>
              <w:start w:w="90" w:type="dxa"/>
              <w:bottom w:w="80" w:type="dxa"/>
              <w:end w:w="90" w:type="dxa"/>
            </w:tcMar>
            <w:tcBorders>
              <w:bottom w:val="single" w:sz="4" w:color="CBD5DF"/>
            </w:tcBorders>
          </w:tcPr>
          <w:p>
            <w:r>
              <w:rPr>
                <w:rFonts w:ascii="Aptos" w:hAnsi="Aptos" w:eastAsia="Aptos"/>
                <w:b w:val="0"/>
                <w:color w:val="24313A"/>
                <w:sz w:val="18"/>
              </w:rPr>
              <w:t>anschaulich und motivierend</w:t>
            </w:r>
          </w:p>
        </w:tc>
      </w:tr>
      <w:tr>
        <w:trPr>
          <w:cantSplit/>
        </w:trPr>
        <w:tc>
          <w:tcPr>
            <w:tcW w:type="dxa" w:w="3168"/>
            <w:shd w:fill="F4F6F8"/>
            <w:tcMar>
              <w:top w:w="80" w:type="dxa"/>
              <w:start w:w="90" w:type="dxa"/>
              <w:bottom w:w="80" w:type="dxa"/>
              <w:end w:w="90" w:type="dxa"/>
            </w:tcMar>
            <w:tcBorders>
              <w:bottom w:val="single" w:sz="4" w:color="CBD5DF"/>
            </w:tcBorders>
          </w:tcPr>
          <w:p>
            <w:r>
              <w:rPr>
                <w:rFonts w:ascii="Aptos" w:hAnsi="Aptos" w:eastAsia="Aptos"/>
                <w:b w:val="0"/>
                <w:color w:val="24313A"/>
                <w:sz w:val="18"/>
              </w:rPr>
              <w:t>Praxistauglichkeit</w:t>
            </w:r>
          </w:p>
        </w:tc>
        <w:tc>
          <w:tcPr>
            <w:tcW w:type="dxa" w:w="2016"/>
            <w:shd w:fill="F4F6F8"/>
            <w:tcMar>
              <w:top w:w="80" w:type="dxa"/>
              <w:start w:w="90" w:type="dxa"/>
              <w:bottom w:w="80" w:type="dxa"/>
              <w:end w:w="90" w:type="dxa"/>
            </w:tcMar>
            <w:tcBorders>
              <w:bottom w:val="single" w:sz="4" w:color="CBD5DF"/>
            </w:tcBorders>
          </w:tcPr>
          <w:p>
            <w:r>
              <w:rPr>
                <w:rFonts w:ascii="Aptos" w:hAnsi="Aptos" w:eastAsia="Aptos"/>
                <w:b/>
                <w:color w:val="1F6F78"/>
                <w:sz w:val="18"/>
              </w:rPr>
              <w:t>sehr gut</w:t>
            </w:r>
          </w:p>
        </w:tc>
        <w:tc>
          <w:tcPr>
            <w:tcW w:type="dxa" w:w="4680"/>
            <w:shd w:fill="F4F6F8"/>
            <w:tcMar>
              <w:top w:w="80" w:type="dxa"/>
              <w:start w:w="90" w:type="dxa"/>
              <w:bottom w:w="80" w:type="dxa"/>
              <w:end w:w="90" w:type="dxa"/>
            </w:tcMar>
            <w:tcBorders>
              <w:bottom w:val="single" w:sz="4" w:color="CBD5DF"/>
            </w:tcBorders>
          </w:tcPr>
          <w:p>
            <w:r>
              <w:rPr>
                <w:rFonts w:ascii="Aptos" w:hAnsi="Aptos" w:eastAsia="Aptos"/>
                <w:b w:val="0"/>
                <w:color w:val="24313A"/>
                <w:sz w:val="18"/>
              </w:rPr>
              <w:t>viele umsetzbare Grundprinzipien</w:t>
            </w:r>
          </w:p>
        </w:tc>
      </w:tr>
      <w:tr>
        <w:trPr>
          <w:cantSplit/>
        </w:trPr>
        <w:tc>
          <w:tcPr>
            <w:tcW w:type="dxa" w:w="3168"/>
            <w:shd w:fill="FFFFFF"/>
            <w:tcMar>
              <w:top w:w="80" w:type="dxa"/>
              <w:start w:w="90" w:type="dxa"/>
              <w:bottom w:w="80" w:type="dxa"/>
              <w:end w:w="90" w:type="dxa"/>
            </w:tcMar>
            <w:tcBorders>
              <w:bottom w:val="single" w:sz="4" w:color="CBD5DF"/>
            </w:tcBorders>
          </w:tcPr>
          <w:p>
            <w:r>
              <w:rPr>
                <w:rFonts w:ascii="Aptos" w:hAnsi="Aptos" w:eastAsia="Aptos"/>
                <w:b w:val="0"/>
                <w:color w:val="24313A"/>
                <w:sz w:val="18"/>
              </w:rPr>
              <w:t>Präzision der Schlagworte</w:t>
            </w:r>
          </w:p>
        </w:tc>
        <w:tc>
          <w:tcPr>
            <w:tcW w:type="dxa" w:w="2016"/>
            <w:shd w:fill="FFFFFF"/>
            <w:tcMar>
              <w:top w:w="80" w:type="dxa"/>
              <w:start w:w="90" w:type="dxa"/>
              <w:bottom w:w="80" w:type="dxa"/>
              <w:end w:w="90" w:type="dxa"/>
            </w:tcMar>
            <w:tcBorders>
              <w:bottom w:val="single" w:sz="4" w:color="CBD5DF"/>
            </w:tcBorders>
          </w:tcPr>
          <w:p>
            <w:r>
              <w:rPr>
                <w:rFonts w:ascii="Aptos" w:hAnsi="Aptos" w:eastAsia="Aptos"/>
                <w:b/>
                <w:color w:val="1F6F78"/>
                <w:sz w:val="18"/>
              </w:rPr>
              <w:t>mittel</w:t>
            </w:r>
          </w:p>
        </w:tc>
        <w:tc>
          <w:tcPr>
            <w:tcW w:type="dxa" w:w="4680"/>
            <w:shd w:fill="FFFFFF"/>
            <w:tcMar>
              <w:top w:w="80" w:type="dxa"/>
              <w:start w:w="90" w:type="dxa"/>
              <w:bottom w:w="80" w:type="dxa"/>
              <w:end w:w="90" w:type="dxa"/>
            </w:tcMar>
            <w:tcBorders>
              <w:bottom w:val="single" w:sz="4" w:color="CBD5DF"/>
            </w:tcBorders>
          </w:tcPr>
          <w:p>
            <w:r>
              <w:rPr>
                <w:rFonts w:ascii="Aptos" w:hAnsi="Aptos" w:eastAsia="Aptos"/>
                <w:b w:val="0"/>
                <w:color w:val="24313A"/>
                <w:sz w:val="18"/>
              </w:rPr>
              <w:t>Marketingbegriffe müssen eingeordnet werden</w:t>
            </w:r>
          </w:p>
        </w:tc>
      </w:tr>
    </w:tbl>
    <w:p>
      <w:pPr>
        <w:pStyle w:val="Heading1"/>
        <w:keepNext/>
        <w:spacing w:before="200" w:after="80"/>
      </w:pPr>
      <w:r>
        <w:rPr>
          <w:rFonts w:ascii="Aptos" w:hAnsi="Aptos" w:eastAsia="Aptos"/>
          <w:b/>
          <w:color w:val="17324D"/>
          <w:sz w:val="34"/>
        </w:rPr>
        <w:t>9  Quellen und Literatur</w:t>
      </w:r>
    </w:p>
    <w:p>
      <w:pPr>
        <w:spacing w:after="120" w:line="276" w:lineRule="auto"/>
      </w:pPr>
      <w:r>
        <w:rPr>
          <w:rFonts w:ascii="Aptos" w:hAnsi="Aptos" w:eastAsia="Aptos"/>
          <w:color w:val="24313A"/>
          <w:sz w:val="20"/>
        </w:rPr>
        <w:t>Die Recherche priorisiert institutionelle Profile, Verlags- und Bibliografiedaten sowie internationale Leitlinien und wissenschaftliche Fachliteratur. Abrufdatum der Onlinequellen: 3. August 2026.</w:t>
      </w:r>
    </w:p>
    <w:p>
      <w:pPr>
        <w:spacing w:after="80"/>
        <w:ind w:left="360" w:hanging="360"/>
      </w:pPr>
      <w:r>
        <w:rPr>
          <w:rFonts w:ascii="Aptos" w:hAnsi="Aptos" w:eastAsia="Aptos"/>
          <w:b/>
          <w:color w:val="1F6F78"/>
          <w:sz w:val="18"/>
        </w:rPr>
        <w:t xml:space="preserve">[1] </w:t>
      </w:r>
      <w:r>
        <w:rPr>
          <w:rFonts w:ascii="Aptos" w:hAnsi="Aptos" w:eastAsia="Aptos"/>
          <w:color w:val="24313A"/>
          <w:sz w:val="18"/>
        </w:rPr>
        <w:t xml:space="preserve">Deutsche Sporthochschule Köln: Forschungsinformationssystem – Profil Ingo Froböse. Publikations- und Projektübersicht. </w:t>
      </w:r>
      <w:hyperlink r:id="rId11">
        <w:r>
          <w:rPr>
            <w:color w:val="1F6F78"/>
            <w:u w:val="single"/>
          </w:rPr>
          <w:t>Onlinequelle</w:t>
        </w:r>
      </w:hyperlink>
    </w:p>
    <w:p>
      <w:pPr>
        <w:spacing w:after="80"/>
        <w:ind w:left="360" w:hanging="360"/>
      </w:pPr>
      <w:r>
        <w:rPr>
          <w:rFonts w:ascii="Aptos" w:hAnsi="Aptos" w:eastAsia="Aptos"/>
          <w:b/>
          <w:color w:val="1F6F78"/>
          <w:sz w:val="18"/>
        </w:rPr>
        <w:t xml:space="preserve">[2] </w:t>
      </w:r>
      <w:r>
        <w:rPr>
          <w:rFonts w:ascii="Aptos" w:hAnsi="Aptos" w:eastAsia="Aptos"/>
          <w:color w:val="24313A"/>
          <w:sz w:val="18"/>
        </w:rPr>
        <w:t xml:space="preserve">Ullstein Buchverlage: Autorenvita Ingo Froböse. </w:t>
      </w:r>
      <w:hyperlink r:id="rId12">
        <w:r>
          <w:rPr>
            <w:color w:val="1F6F78"/>
            <w:u w:val="single"/>
          </w:rPr>
          <w:t>Onlinequelle</w:t>
        </w:r>
      </w:hyperlink>
    </w:p>
    <w:p>
      <w:pPr>
        <w:spacing w:after="80"/>
        <w:ind w:left="360" w:hanging="360"/>
      </w:pPr>
      <w:r>
        <w:rPr>
          <w:rFonts w:ascii="Aptos" w:hAnsi="Aptos" w:eastAsia="Aptos"/>
          <w:b/>
          <w:color w:val="1F6F78"/>
          <w:sz w:val="18"/>
        </w:rPr>
        <w:t xml:space="preserve">[3] </w:t>
      </w:r>
      <w:r>
        <w:rPr>
          <w:rFonts w:ascii="Aptos" w:hAnsi="Aptos" w:eastAsia="Aptos"/>
          <w:color w:val="24313A"/>
          <w:sz w:val="18"/>
        </w:rPr>
        <w:t xml:space="preserve">World Athletics: Athlete Profile Ingo Froböse. </w:t>
      </w:r>
      <w:hyperlink r:id="rId13">
        <w:r>
          <w:rPr>
            <w:color w:val="1F6F78"/>
            <w:u w:val="single"/>
          </w:rPr>
          <w:t>Onlinequelle</w:t>
        </w:r>
      </w:hyperlink>
    </w:p>
    <w:p>
      <w:pPr>
        <w:spacing w:after="80"/>
        <w:ind w:left="360" w:hanging="360"/>
      </w:pPr>
      <w:r>
        <w:rPr>
          <w:rFonts w:ascii="Aptos" w:hAnsi="Aptos" w:eastAsia="Aptos"/>
          <w:b/>
          <w:color w:val="1F6F78"/>
          <w:sz w:val="18"/>
        </w:rPr>
        <w:t xml:space="preserve">[4] </w:t>
      </w:r>
      <w:r>
        <w:rPr>
          <w:rFonts w:ascii="Aptos" w:hAnsi="Aptos" w:eastAsia="Aptos"/>
          <w:color w:val="24313A"/>
          <w:sz w:val="18"/>
        </w:rPr>
        <w:t xml:space="preserve">fischimwasser: Teamprofil Prof. Dr. Ingo Froböse. </w:t>
      </w:r>
      <w:hyperlink r:id="rId14">
        <w:r>
          <w:rPr>
            <w:color w:val="1F6F78"/>
            <w:u w:val="single"/>
          </w:rPr>
          <w:t>Onlinequelle</w:t>
        </w:r>
      </w:hyperlink>
    </w:p>
    <w:p>
      <w:pPr>
        <w:spacing w:after="80"/>
        <w:ind w:left="360" w:hanging="360"/>
      </w:pPr>
      <w:r>
        <w:rPr>
          <w:rFonts w:ascii="Aptos" w:hAnsi="Aptos" w:eastAsia="Aptos"/>
          <w:b/>
          <w:color w:val="1F6F78"/>
          <w:sz w:val="18"/>
        </w:rPr>
        <w:t xml:space="preserve">[5] </w:t>
      </w:r>
      <w:r>
        <w:rPr>
          <w:rFonts w:ascii="Aptos" w:hAnsi="Aptos" w:eastAsia="Aptos"/>
          <w:color w:val="24313A"/>
          <w:sz w:val="18"/>
        </w:rPr>
        <w:t xml:space="preserve">Ullstein: Der Stoffwechsel-Kompass – Buchdetails und Inhaltsangabe. </w:t>
      </w:r>
      <w:hyperlink r:id="rId15">
        <w:r>
          <w:rPr>
            <w:color w:val="1F6F78"/>
            <w:u w:val="single"/>
          </w:rPr>
          <w:t>Onlinequelle</w:t>
        </w:r>
      </w:hyperlink>
    </w:p>
    <w:p>
      <w:pPr>
        <w:spacing w:after="80"/>
        <w:ind w:left="360" w:hanging="360"/>
      </w:pPr>
      <w:r>
        <w:rPr>
          <w:rFonts w:ascii="Aptos" w:hAnsi="Aptos" w:eastAsia="Aptos"/>
          <w:b/>
          <w:color w:val="1F6F78"/>
          <w:sz w:val="18"/>
        </w:rPr>
        <w:t xml:space="preserve">[6] </w:t>
      </w:r>
      <w:r>
        <w:rPr>
          <w:rFonts w:ascii="Aptos" w:hAnsi="Aptos" w:eastAsia="Aptos"/>
          <w:color w:val="24313A"/>
          <w:sz w:val="18"/>
        </w:rPr>
        <w:t xml:space="preserve">Google Books: Der Stoffwechsel-Kompass – bibliografische Angaben und Vorschau. </w:t>
      </w:r>
      <w:hyperlink r:id="rId16">
        <w:r>
          <w:rPr>
            <w:color w:val="1F6F78"/>
            <w:u w:val="single"/>
          </w:rPr>
          <w:t>Onlinequelle</w:t>
        </w:r>
      </w:hyperlink>
    </w:p>
    <w:p>
      <w:pPr>
        <w:spacing w:after="80"/>
        <w:ind w:left="360" w:hanging="360"/>
      </w:pPr>
      <w:r>
        <w:rPr>
          <w:rFonts w:ascii="Aptos" w:hAnsi="Aptos" w:eastAsia="Aptos"/>
          <w:b/>
          <w:color w:val="1F6F78"/>
          <w:sz w:val="18"/>
        </w:rPr>
        <w:t xml:space="preserve">[7] </w:t>
      </w:r>
      <w:r>
        <w:rPr>
          <w:rFonts w:ascii="Aptos" w:hAnsi="Aptos" w:eastAsia="Aptos"/>
          <w:color w:val="24313A"/>
          <w:sz w:val="18"/>
        </w:rPr>
        <w:t xml:space="preserve">World Health Organization (2020): WHO Guidelines on Physical Activity and Sedentary Behaviour. </w:t>
      </w:r>
      <w:hyperlink r:id="rId17">
        <w:r>
          <w:rPr>
            <w:color w:val="1F6F78"/>
            <w:u w:val="single"/>
          </w:rPr>
          <w:t>Onlinequelle</w:t>
        </w:r>
      </w:hyperlink>
    </w:p>
    <w:p>
      <w:pPr>
        <w:spacing w:after="80"/>
        <w:ind w:left="360" w:hanging="360"/>
      </w:pPr>
      <w:r>
        <w:rPr>
          <w:rFonts w:ascii="Aptos" w:hAnsi="Aptos" w:eastAsia="Aptos"/>
          <w:b/>
          <w:color w:val="1F6F78"/>
          <w:sz w:val="18"/>
        </w:rPr>
        <w:t xml:space="preserve">[8] </w:t>
      </w:r>
      <w:r>
        <w:rPr>
          <w:rFonts w:ascii="Aptos" w:hAnsi="Aptos" w:eastAsia="Aptos"/>
          <w:color w:val="24313A"/>
          <w:sz w:val="18"/>
        </w:rPr>
        <w:t xml:space="preserve">Volkert, D. et al. (2022): ESPEN practical guideline: Clinical nutrition and hydration in geriatrics. Clinical Nutrition 41, 958–989. </w:t>
      </w:r>
      <w:hyperlink r:id="rId18">
        <w:r>
          <w:rPr>
            <w:color w:val="1F6F78"/>
            <w:u w:val="single"/>
          </w:rPr>
          <w:t>Onlinequelle</w:t>
        </w:r>
      </w:hyperlink>
    </w:p>
    <w:p>
      <w:pPr>
        <w:spacing w:after="80"/>
        <w:ind w:left="360" w:hanging="360"/>
      </w:pPr>
      <w:r>
        <w:rPr>
          <w:rFonts w:ascii="Aptos" w:hAnsi="Aptos" w:eastAsia="Aptos"/>
          <w:b/>
          <w:color w:val="1F6F78"/>
          <w:sz w:val="18"/>
        </w:rPr>
        <w:t xml:space="preserve">[9] </w:t>
      </w:r>
      <w:r>
        <w:rPr>
          <w:rFonts w:ascii="Aptos" w:hAnsi="Aptos" w:eastAsia="Aptos"/>
          <w:color w:val="24313A"/>
          <w:sz w:val="18"/>
        </w:rPr>
        <w:t xml:space="preserve">Pontzer, H. et al. (2021): Daily energy expenditure through the human life course. Science 373, 808–812. </w:t>
      </w:r>
      <w:hyperlink r:id="rId19">
        <w:r>
          <w:rPr>
            <w:color w:val="1F6F78"/>
            <w:u w:val="single"/>
          </w:rPr>
          <w:t>Onlinequelle</w:t>
        </w:r>
      </w:hyperlink>
    </w:p>
    <w:p>
      <w:pPr>
        <w:spacing w:after="80"/>
        <w:ind w:left="360" w:hanging="360"/>
      </w:pPr>
      <w:r>
        <w:rPr>
          <w:rFonts w:ascii="Aptos" w:hAnsi="Aptos" w:eastAsia="Aptos"/>
          <w:b/>
          <w:color w:val="1F6F78"/>
          <w:sz w:val="18"/>
        </w:rPr>
        <w:t xml:space="preserve">[10] </w:t>
      </w:r>
      <w:r>
        <w:rPr>
          <w:rFonts w:ascii="Aptos" w:hAnsi="Aptos" w:eastAsia="Aptos"/>
          <w:color w:val="24313A"/>
          <w:sz w:val="18"/>
        </w:rPr>
        <w:t xml:space="preserve">Cruz-Jentoft, A. J. et al. (2019): Sarcopenia: revised European consensus on definition and diagnosis (EWGSOP2). Age and Ageing 48, 16–31. </w:t>
      </w:r>
      <w:hyperlink r:id="rId20">
        <w:r>
          <w:rPr>
            <w:color w:val="1F6F78"/>
            <w:u w:val="single"/>
          </w:rPr>
          <w:t>Onlinequelle</w:t>
        </w:r>
      </w:hyperlink>
    </w:p>
    <w:p>
      <w:pPr>
        <w:spacing w:after="80"/>
        <w:ind w:left="360" w:hanging="360"/>
      </w:pPr>
      <w:r>
        <w:rPr>
          <w:rFonts w:ascii="Aptos" w:hAnsi="Aptos" w:eastAsia="Aptos"/>
          <w:b/>
          <w:color w:val="1F6F78"/>
          <w:sz w:val="18"/>
        </w:rPr>
        <w:t xml:space="preserve">[11] </w:t>
      </w:r>
      <w:r>
        <w:rPr>
          <w:rFonts w:ascii="Aptos" w:hAnsi="Aptos" w:eastAsia="Aptos"/>
          <w:color w:val="24313A"/>
          <w:sz w:val="18"/>
        </w:rPr>
        <w:t xml:space="preserve">Severinsen, M. C. K.; Pedersen, B. K. (2020): Muscle–Organ Crosstalk: The Emerging Roles of Myokines. Endocrine Reviews 41, 594–609. </w:t>
      </w:r>
      <w:hyperlink r:id="rId21">
        <w:r>
          <w:rPr>
            <w:color w:val="1F6F78"/>
            <w:u w:val="single"/>
          </w:rPr>
          <w:t>Onlinequelle</w:t>
        </w:r>
      </w:hyperlink>
    </w:p>
    <w:p>
      <w:pPr>
        <w:spacing w:after="80"/>
        <w:ind w:left="360" w:hanging="360"/>
      </w:pPr>
      <w:r>
        <w:rPr>
          <w:rFonts w:ascii="Aptos" w:hAnsi="Aptos" w:eastAsia="Aptos"/>
          <w:b/>
          <w:color w:val="1F6F78"/>
          <w:sz w:val="18"/>
        </w:rPr>
        <w:t xml:space="preserve">[12] </w:t>
      </w:r>
      <w:r>
        <w:rPr>
          <w:rFonts w:ascii="Aptos" w:hAnsi="Aptos" w:eastAsia="Aptos"/>
          <w:color w:val="24313A"/>
          <w:sz w:val="18"/>
        </w:rPr>
        <w:t xml:space="preserve">Froböse, I.; Wallmann-Sperlich, B. (2016): Der DKV-Report „Wie gesund lebt Deutschland?“ 2016. </w:t>
      </w:r>
      <w:hyperlink r:id="rId22">
        <w:r>
          <w:rPr>
            <w:color w:val="1F6F78"/>
            <w:u w:val="single"/>
          </w:rPr>
          <w:t>Onlinequelle</w:t>
        </w:r>
      </w:hyperlink>
    </w:p>
    <w:p>
      <w:pPr>
        <w:spacing w:after="80"/>
        <w:ind w:left="360" w:hanging="360"/>
      </w:pPr>
      <w:r>
        <w:rPr>
          <w:rFonts w:ascii="Aptos" w:hAnsi="Aptos" w:eastAsia="Aptos"/>
          <w:b/>
          <w:color w:val="1F6F78"/>
          <w:sz w:val="18"/>
        </w:rPr>
        <w:t xml:space="preserve">[13] </w:t>
      </w:r>
      <w:r>
        <w:rPr>
          <w:rFonts w:ascii="Aptos" w:hAnsi="Aptos" w:eastAsia="Aptos"/>
          <w:color w:val="24313A"/>
          <w:sz w:val="18"/>
        </w:rPr>
        <w:t xml:space="preserve">Grieben, C.; Stassen, G.; Froböse, I. (2018): How Should Web-Based Physical Activity and Healthy Eating Interventions Be Designed for Young Office Workers? </w:t>
      </w:r>
      <w:hyperlink r:id="rId23">
        <w:r>
          <w:rPr>
            <w:color w:val="1F6F78"/>
            <w:u w:val="single"/>
          </w:rPr>
          <w:t>Onlinequelle</w:t>
        </w:r>
      </w:hyperlink>
    </w:p>
    <w:p>
      <w:pPr>
        <w:spacing w:after="80"/>
        <w:ind w:left="360" w:hanging="360"/>
      </w:pPr>
      <w:r>
        <w:rPr>
          <w:rFonts w:ascii="Aptos" w:hAnsi="Aptos" w:eastAsia="Aptos"/>
          <w:b/>
          <w:color w:val="1F6F78"/>
          <w:sz w:val="18"/>
        </w:rPr>
        <w:t xml:space="preserve">[14] </w:t>
      </w:r>
      <w:r>
        <w:rPr>
          <w:rFonts w:ascii="Aptos" w:hAnsi="Aptos" w:eastAsia="Aptos"/>
          <w:color w:val="24313A"/>
          <w:sz w:val="18"/>
        </w:rPr>
        <w:t xml:space="preserve">Tholl, C. et al. (2019): eSportler im Fokus der Sportwissenschaft – Erfassung einer neuen Risikozielgruppe. </w:t>
      </w:r>
      <w:hyperlink r:id="rId24">
        <w:r>
          <w:rPr>
            <w:color w:val="1F6F78"/>
            <w:u w:val="single"/>
          </w:rPr>
          <w:t>Onlinequelle</w:t>
        </w:r>
      </w:hyperlink>
    </w:p>
    <w:p>
      <w:pPr>
        <w:spacing w:after="80"/>
        <w:ind w:left="360" w:hanging="360"/>
      </w:pPr>
      <w:r>
        <w:rPr>
          <w:rFonts w:ascii="Aptos" w:hAnsi="Aptos" w:eastAsia="Aptos"/>
          <w:b/>
          <w:color w:val="1F6F78"/>
          <w:sz w:val="18"/>
        </w:rPr>
        <w:t xml:space="preserve">[15] </w:t>
      </w:r>
      <w:r>
        <w:rPr>
          <w:rFonts w:ascii="Aptos" w:hAnsi="Aptos" w:eastAsia="Aptos"/>
          <w:color w:val="24313A"/>
          <w:sz w:val="18"/>
        </w:rPr>
        <w:t xml:space="preserve">Froböse, I.; Wilke, C. (Hrsg.) (2015): Training in der Therapie, Band 1: Grundlagen. Elsevier. </w:t>
      </w:r>
      <w:hyperlink r:id="rId25">
        <w:r>
          <w:rPr>
            <w:color w:val="1F6F78"/>
            <w:u w:val="single"/>
          </w:rPr>
          <w:t>Onlinequelle</w:t>
        </w:r>
      </w:hyperlink>
    </w:p>
    <w:p>
      <w:pPr>
        <w:spacing w:after="80"/>
        <w:ind w:left="360" w:hanging="360"/>
      </w:pPr>
      <w:r>
        <w:rPr>
          <w:rFonts w:ascii="Aptos" w:hAnsi="Aptos" w:eastAsia="Aptos"/>
          <w:b/>
          <w:color w:val="1F6F78"/>
          <w:sz w:val="18"/>
        </w:rPr>
        <w:t xml:space="preserve">[16] </w:t>
      </w:r>
      <w:r>
        <w:rPr>
          <w:rFonts w:ascii="Aptos" w:hAnsi="Aptos" w:eastAsia="Aptos"/>
          <w:color w:val="24313A"/>
          <w:sz w:val="18"/>
        </w:rPr>
        <w:t xml:space="preserve">Froböse, I.: Offizielle Buchübersicht. </w:t>
      </w:r>
      <w:hyperlink r:id="rId26">
        <w:r>
          <w:rPr>
            <w:color w:val="1F6F78"/>
            <w:u w:val="single"/>
          </w:rPr>
          <w:t>Onlinequelle</w:t>
        </w:r>
      </w:hyperlink>
    </w:p>
    <w:p>
      <w:pPr>
        <w:spacing w:after="80"/>
        <w:ind w:left="360" w:hanging="360"/>
      </w:pPr>
      <w:r>
        <w:rPr>
          <w:rFonts w:ascii="Aptos" w:hAnsi="Aptos" w:eastAsia="Aptos"/>
          <w:b/>
          <w:color w:val="1F6F78"/>
          <w:sz w:val="18"/>
        </w:rPr>
        <w:t xml:space="preserve">[17] </w:t>
      </w:r>
      <w:r>
        <w:rPr>
          <w:rFonts w:ascii="Aptos" w:hAnsi="Aptos" w:eastAsia="Aptos"/>
          <w:color w:val="24313A"/>
          <w:sz w:val="18"/>
        </w:rPr>
        <w:t xml:space="preserve">Buschmann, J.; Sühl, R. (Red.) (2011): „Froböse, Ingo“, in: Who is Who der Deutschen Sporthochschule Köln, 2. Auflage, S. 499–501. Institutionelle biografische Referenz. </w:t>
      </w:r>
    </w:p>
    <w:p>
      <w:pPr>
        <w:pStyle w:val="Heading2"/>
        <w:keepNext/>
        <w:spacing w:before="140" w:after="80"/>
      </w:pPr>
      <w:r>
        <w:rPr>
          <w:rFonts w:ascii="Aptos" w:hAnsi="Aptos" w:eastAsia="Aptos"/>
          <w:b/>
          <w:color w:val="1F6F78"/>
          <w:sz w:val="26"/>
        </w:rPr>
        <w:t>Methodischer Hinweis</w:t>
      </w:r>
    </w:p>
    <w:p>
      <w:pPr>
        <w:spacing w:after="120" w:line="276" w:lineRule="auto"/>
      </w:pPr>
      <w:r>
        <w:rPr>
          <w:rFonts w:ascii="Aptos" w:hAnsi="Aptos" w:eastAsia="Aptos"/>
          <w:color w:val="24313A"/>
          <w:sz w:val="20"/>
        </w:rPr>
        <w:t>Das Dokument trennt drei Ebenen: (1) biografisch und bibliografisch belegbare Fakten, (2) wissenschaftliche Forschung und Leitlinien, (3) populärwissenschaftliche Deutungen und Handlungsempfehlungen. Diese Trennung ist wichtig, weil ein Ratgeber zugleich fachlich nützlich und in einzelnen Formulierungen stärker vereinfachend sein kann.</w:t>
      </w:r>
    </w:p>
    <w:p>
      <w:pPr>
        <w:spacing w:before="320" w:after="60"/>
        <w:jc w:val="center"/>
      </w:pPr>
      <w:r>
        <w:rPr>
          <w:rFonts w:ascii="Aptos" w:hAnsi="Aptos" w:eastAsia="Aptos"/>
          <w:b/>
          <w:color w:val="52606D"/>
          <w:sz w:val="18"/>
        </w:rPr>
        <w:t>—  Ende des Dokuments  —</w:t>
      </w:r>
    </w:p>
    <w:sectPr w:rsidR="00FC693F" w:rsidRPr="0006063C" w:rsidSect="00034616">
      <w:headerReference w:type="default" r:id="rId9"/>
      <w:footerReference w:type="default" r:id="rId10"/>
      <w:pgSz w:w="12240" w:h="15840"/>
      <w:pgMar w:top="1080" w:right="1181" w:bottom="1008" w:left="1181" w:header="360" w:footer="3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52606D"/>
        <w:sz w:val="16"/>
      </w:rPr>
      <w:t xml:space="preserve">Stand: 3. August 2026   |   Seite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4" w:color="CBD5DF"/>
      </w:pBdr>
    </w:pPr>
    <w:r>
      <w:rPr>
        <w:rFonts w:ascii="Aptos" w:hAnsi="Aptos" w:eastAsia="Aptos"/>
        <w:b/>
        <w:color w:val="52606D"/>
        <w:sz w:val="17"/>
      </w:rPr>
      <w:t>INGO FROBÖSE  |  FORSCHUNG UND WERK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eastAsia="Aptos"/>
      <w:color w:val="2431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fis.dshs-koeln.de/de/persons/ingo-frob%C3%B6se/" TargetMode="External"/><Relationship Id="rId12" Type="http://schemas.openxmlformats.org/officeDocument/2006/relationships/hyperlink" Target="https://www.ullstein.de/urheberinnen/ingo-froboese" TargetMode="External"/><Relationship Id="rId13" Type="http://schemas.openxmlformats.org/officeDocument/2006/relationships/hyperlink" Target="https://worldathletics.org/athletes/fed-rep-german/ingo-frobose-14349214" TargetMode="External"/><Relationship Id="rId14" Type="http://schemas.openxmlformats.org/officeDocument/2006/relationships/hyperlink" Target="https://fischimwasser.de/team" TargetMode="External"/><Relationship Id="rId15" Type="http://schemas.openxmlformats.org/officeDocument/2006/relationships/hyperlink" Target="https://www.ullstein.de/werke/stoffwechseljahre/taschenbuch/9783548066998" TargetMode="External"/><Relationship Id="rId16" Type="http://schemas.openxmlformats.org/officeDocument/2006/relationships/hyperlink" Target="https://books.google.com/books?id=iaM7EAAAQBAJ" TargetMode="External"/><Relationship Id="rId17" Type="http://schemas.openxmlformats.org/officeDocument/2006/relationships/hyperlink" Target="https://www.who.int/publications/i/item/9789240015128" TargetMode="External"/><Relationship Id="rId18" Type="http://schemas.openxmlformats.org/officeDocument/2006/relationships/hyperlink" Target="https://pubmed.ncbi.nlm.nih.gov/35306388/" TargetMode="External"/><Relationship Id="rId19" Type="http://schemas.openxmlformats.org/officeDocument/2006/relationships/hyperlink" Target="https://pubmed.ncbi.nlm.nih.gov/34385400/" TargetMode="External"/><Relationship Id="rId20" Type="http://schemas.openxmlformats.org/officeDocument/2006/relationships/hyperlink" Target="https://pubmed.ncbi.nlm.nih.gov/30312372/" TargetMode="External"/><Relationship Id="rId21" Type="http://schemas.openxmlformats.org/officeDocument/2006/relationships/hyperlink" Target="https://academic.oup.com/edrv/article/41/4/594/5835999" TargetMode="External"/><Relationship Id="rId22" Type="http://schemas.openxmlformats.org/officeDocument/2006/relationships/hyperlink" Target="https://fis.dshs-koeln.de/de/publications/der-dkv-report-wie-gesund-lebt-deutschland-2016/" TargetMode="External"/><Relationship Id="rId23" Type="http://schemas.openxmlformats.org/officeDocument/2006/relationships/hyperlink" Target="https://fis.dshs-koeln.de/de/publications/how-should-web-based-physical-activity-and-healthy-eating-interve/" TargetMode="External"/><Relationship Id="rId24" Type="http://schemas.openxmlformats.org/officeDocument/2006/relationships/hyperlink" Target="https://fis.dshs-koeln.de/de/publications/esportler-im-fokus-der-sportwissenschaft-erfassung-einer-neuen-ri" TargetMode="External"/><Relationship Id="rId25" Type="http://schemas.openxmlformats.org/officeDocument/2006/relationships/hyperlink" Target="https://fis.dshs-koeln.de/de/publications/training-in-der-therapie-band-1-grundlagen" TargetMode="External"/><Relationship Id="rId26" Type="http://schemas.openxmlformats.org/officeDocument/2006/relationships/hyperlink" Target="https://www.ingo-froboese.de/buec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 Dr. Ingo Froböse – Forschung und Werk</dc:title>
  <dc:subject>Akademisches Profil, Forschungsschwerpunkte, publizistisches Werk und Analyse von Der Stoffwechsel-Kompass</dc:subject>
  <dc:creator>OpenAI</dc:creator>
  <cp:keywords>Ingo Froböse, Sportwissenschaft, Prävention, Rehabilitation, Stoffwechsel-Kompass, Muskelgesundheit</cp:keywords>
  <dc:description>Stand 3. August 2026</dc:description>
  <cp:lastModifiedBy/>
  <cp:revision>1</cp:revision>
  <dcterms:created xsi:type="dcterms:W3CDTF">2013-12-23T23:15:00Z</dcterms:created>
  <dcterms:modified xsi:type="dcterms:W3CDTF">2013-12-23T23:15:00Z</dcterms:modified>
  <cp:category/>
</cp:coreProperties>
</file>